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D2D2C" w14:textId="47F60B58" w:rsidR="007B7B3F" w:rsidRDefault="00FC6E65" w:rsidP="002213FE">
      <w:pPr>
        <w:pStyle w:val="NoSpacing"/>
        <w:rPr>
          <w:rFonts w:ascii="Arial" w:hAnsi="Arial" w:cs="Arial"/>
          <w:b/>
          <w:sz w:val="40"/>
          <w:szCs w:val="40"/>
        </w:rPr>
      </w:pPr>
      <w:bookmarkStart w:id="0" w:name="_GoBack"/>
      <w:bookmarkEnd w:id="0"/>
      <w:r>
        <w:rPr>
          <w:rFonts w:ascii="Arial" w:hAnsi="Arial" w:cs="Arial"/>
          <w:b/>
          <w:sz w:val="40"/>
          <w:szCs w:val="40"/>
        </w:rPr>
        <w:t xml:space="preserve">                   </w:t>
      </w:r>
      <w:r w:rsidR="002213FE">
        <w:rPr>
          <w:rFonts w:ascii="Arial" w:hAnsi="Arial" w:cs="Arial"/>
          <w:b/>
          <w:sz w:val="40"/>
          <w:szCs w:val="40"/>
        </w:rPr>
        <w:t xml:space="preserve"> </w:t>
      </w:r>
      <w:r w:rsidR="00063096">
        <w:rPr>
          <w:rFonts w:ascii="Arial" w:hAnsi="Arial" w:cs="Arial"/>
          <w:b/>
          <w:noProof/>
          <w:sz w:val="40"/>
          <w:szCs w:val="40"/>
          <w:lang w:eastAsia="en-GB"/>
        </w:rPr>
        <w:drawing>
          <wp:inline distT="0" distB="0" distL="0" distR="0" wp14:anchorId="56FD18F6" wp14:editId="045E059C">
            <wp:extent cx="1493520" cy="82905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2121" cy="833830"/>
                    </a:xfrm>
                    <a:prstGeom prst="rect">
                      <a:avLst/>
                    </a:prstGeom>
                    <a:noFill/>
                  </pic:spPr>
                </pic:pic>
              </a:graphicData>
            </a:graphic>
          </wp:inline>
        </w:drawing>
      </w:r>
      <w:r w:rsidR="006F5665">
        <w:rPr>
          <w:rFonts w:ascii="Arial" w:hAnsi="Arial" w:cs="Arial"/>
          <w:b/>
          <w:noProof/>
          <w:sz w:val="40"/>
          <w:szCs w:val="40"/>
          <w:lang w:eastAsia="en-GB"/>
        </w:rPr>
        <w:drawing>
          <wp:inline distT="0" distB="0" distL="0" distR="0" wp14:anchorId="07AF7F3D" wp14:editId="72B0F7B6">
            <wp:extent cx="1760220" cy="77742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0245" cy="786269"/>
                    </a:xfrm>
                    <a:prstGeom prst="rect">
                      <a:avLst/>
                    </a:prstGeom>
                    <a:noFill/>
                  </pic:spPr>
                </pic:pic>
              </a:graphicData>
            </a:graphic>
          </wp:inline>
        </w:drawing>
      </w:r>
    </w:p>
    <w:p w14:paraId="2F9BA4FD" w14:textId="77777777" w:rsidR="007B7B3F" w:rsidRDefault="007B7B3F" w:rsidP="00D6763D">
      <w:pPr>
        <w:pStyle w:val="NoSpacing"/>
        <w:jc w:val="center"/>
        <w:rPr>
          <w:rFonts w:ascii="Arial" w:hAnsi="Arial" w:cs="Arial"/>
          <w:b/>
          <w:sz w:val="40"/>
          <w:szCs w:val="40"/>
        </w:rPr>
      </w:pPr>
    </w:p>
    <w:p w14:paraId="28560F22" w14:textId="77777777" w:rsidR="007B7B3F" w:rsidRDefault="007B7B3F" w:rsidP="00D6763D">
      <w:pPr>
        <w:pStyle w:val="NoSpacing"/>
        <w:jc w:val="center"/>
        <w:rPr>
          <w:rFonts w:ascii="Arial" w:hAnsi="Arial" w:cs="Arial"/>
          <w:b/>
          <w:sz w:val="40"/>
          <w:szCs w:val="40"/>
        </w:rPr>
      </w:pPr>
    </w:p>
    <w:p w14:paraId="7F3870D5" w14:textId="4B7319AC" w:rsidR="007B7B3F" w:rsidRDefault="007B7B3F" w:rsidP="00D6763D">
      <w:pPr>
        <w:pStyle w:val="NoSpacing"/>
        <w:jc w:val="center"/>
        <w:rPr>
          <w:rFonts w:ascii="Arial" w:hAnsi="Arial" w:cs="Arial"/>
          <w:b/>
          <w:sz w:val="40"/>
          <w:szCs w:val="40"/>
        </w:rPr>
      </w:pPr>
    </w:p>
    <w:p w14:paraId="4599AADB" w14:textId="77777777" w:rsidR="007B7B3F" w:rsidRDefault="007B7B3F" w:rsidP="00D6763D">
      <w:pPr>
        <w:pStyle w:val="NoSpacing"/>
        <w:jc w:val="center"/>
        <w:rPr>
          <w:rFonts w:ascii="Arial" w:hAnsi="Arial" w:cs="Arial"/>
          <w:b/>
          <w:sz w:val="40"/>
          <w:szCs w:val="40"/>
        </w:rPr>
      </w:pPr>
    </w:p>
    <w:p w14:paraId="2E076D35" w14:textId="77777777" w:rsidR="007B7B3F" w:rsidRDefault="007B7B3F" w:rsidP="00D6763D">
      <w:pPr>
        <w:pStyle w:val="NoSpacing"/>
        <w:jc w:val="center"/>
        <w:rPr>
          <w:rFonts w:ascii="Arial" w:hAnsi="Arial" w:cs="Arial"/>
          <w:b/>
          <w:sz w:val="40"/>
          <w:szCs w:val="40"/>
        </w:rPr>
      </w:pPr>
    </w:p>
    <w:p w14:paraId="752B56A5" w14:textId="77777777" w:rsidR="007B7B3F" w:rsidRDefault="007B7B3F" w:rsidP="00D6763D">
      <w:pPr>
        <w:pStyle w:val="NoSpacing"/>
        <w:jc w:val="center"/>
        <w:rPr>
          <w:rFonts w:ascii="Arial" w:hAnsi="Arial" w:cs="Arial"/>
          <w:b/>
          <w:sz w:val="40"/>
          <w:szCs w:val="40"/>
        </w:rPr>
      </w:pPr>
    </w:p>
    <w:p w14:paraId="374987D0" w14:textId="29D0D70D" w:rsidR="007B7B3F" w:rsidRDefault="007B7B3F" w:rsidP="00D6763D">
      <w:pPr>
        <w:pStyle w:val="NoSpacing"/>
        <w:jc w:val="center"/>
        <w:rPr>
          <w:rFonts w:ascii="Arial" w:hAnsi="Arial" w:cs="Arial"/>
          <w:b/>
          <w:sz w:val="40"/>
          <w:szCs w:val="40"/>
        </w:rPr>
      </w:pPr>
    </w:p>
    <w:p w14:paraId="1AD82CF0" w14:textId="77777777" w:rsidR="00D9710C" w:rsidRDefault="00D9710C" w:rsidP="00D6763D">
      <w:pPr>
        <w:pStyle w:val="NoSpacing"/>
        <w:jc w:val="center"/>
        <w:rPr>
          <w:rFonts w:ascii="Arial" w:hAnsi="Arial" w:cs="Arial"/>
          <w:b/>
          <w:sz w:val="40"/>
          <w:szCs w:val="40"/>
        </w:rPr>
      </w:pPr>
    </w:p>
    <w:p w14:paraId="4059101A" w14:textId="77777777" w:rsidR="007B7B3F" w:rsidRDefault="007B7B3F" w:rsidP="00D6763D">
      <w:pPr>
        <w:pStyle w:val="NoSpacing"/>
        <w:jc w:val="center"/>
        <w:rPr>
          <w:rFonts w:ascii="Arial" w:hAnsi="Arial" w:cs="Arial"/>
          <w:b/>
          <w:sz w:val="40"/>
          <w:szCs w:val="40"/>
        </w:rPr>
      </w:pPr>
    </w:p>
    <w:p w14:paraId="3C12702D" w14:textId="2BB4111F" w:rsidR="00D11421" w:rsidRDefault="00F82B5A" w:rsidP="00D6763D">
      <w:pPr>
        <w:pStyle w:val="NoSpacing"/>
        <w:jc w:val="center"/>
        <w:rPr>
          <w:rFonts w:ascii="Arial" w:hAnsi="Arial" w:cs="Arial"/>
          <w:b/>
          <w:sz w:val="40"/>
          <w:szCs w:val="40"/>
        </w:rPr>
      </w:pPr>
      <w:r w:rsidRPr="003B5D6D">
        <w:rPr>
          <w:rFonts w:ascii="Arial" w:hAnsi="Arial" w:cs="Arial"/>
          <w:b/>
          <w:sz w:val="40"/>
          <w:szCs w:val="40"/>
        </w:rPr>
        <w:t>Pre-Sentence Report Before Plea</w:t>
      </w:r>
    </w:p>
    <w:p w14:paraId="5505A8AF" w14:textId="77777777" w:rsidR="007B7B3F" w:rsidRDefault="007B7B3F" w:rsidP="00D6763D">
      <w:pPr>
        <w:pStyle w:val="NoSpacing"/>
        <w:jc w:val="center"/>
        <w:rPr>
          <w:rFonts w:ascii="Arial" w:hAnsi="Arial" w:cs="Arial"/>
          <w:b/>
          <w:sz w:val="40"/>
          <w:szCs w:val="40"/>
        </w:rPr>
      </w:pPr>
    </w:p>
    <w:p w14:paraId="2A665035" w14:textId="77777777" w:rsidR="00D11421" w:rsidRPr="002F22F8" w:rsidRDefault="00D11421" w:rsidP="00BF378D">
      <w:pPr>
        <w:pStyle w:val="NoSpacing"/>
        <w:rPr>
          <w:rFonts w:ascii="Arial" w:hAnsi="Arial" w:cs="Arial"/>
          <w:b/>
          <w:sz w:val="28"/>
          <w:szCs w:val="28"/>
        </w:rPr>
      </w:pPr>
    </w:p>
    <w:p w14:paraId="210E6EAC" w14:textId="77777777" w:rsidR="007B7B3F" w:rsidRDefault="007B7B3F" w:rsidP="00BF378D">
      <w:pPr>
        <w:pStyle w:val="NoSpacing"/>
        <w:rPr>
          <w:rFonts w:ascii="Arial" w:hAnsi="Arial" w:cs="Arial"/>
          <w:b/>
          <w:sz w:val="32"/>
          <w:szCs w:val="32"/>
        </w:rPr>
      </w:pPr>
    </w:p>
    <w:p w14:paraId="5C895814" w14:textId="77777777" w:rsidR="007B7B3F" w:rsidRDefault="007B7B3F" w:rsidP="00BF378D">
      <w:pPr>
        <w:pStyle w:val="NoSpacing"/>
        <w:rPr>
          <w:rFonts w:ascii="Arial" w:hAnsi="Arial" w:cs="Arial"/>
          <w:b/>
          <w:sz w:val="32"/>
          <w:szCs w:val="32"/>
        </w:rPr>
      </w:pPr>
    </w:p>
    <w:p w14:paraId="03F5BB06" w14:textId="77777777" w:rsidR="007B7B3F" w:rsidRDefault="007B7B3F" w:rsidP="00BF378D">
      <w:pPr>
        <w:pStyle w:val="NoSpacing"/>
        <w:rPr>
          <w:rFonts w:ascii="Arial" w:hAnsi="Arial" w:cs="Arial"/>
          <w:b/>
          <w:sz w:val="32"/>
          <w:szCs w:val="32"/>
        </w:rPr>
      </w:pPr>
    </w:p>
    <w:p w14:paraId="7D4A638A" w14:textId="77777777" w:rsidR="007B7B3F" w:rsidRDefault="007B7B3F" w:rsidP="00BF378D">
      <w:pPr>
        <w:pStyle w:val="NoSpacing"/>
        <w:rPr>
          <w:rFonts w:ascii="Arial" w:hAnsi="Arial" w:cs="Arial"/>
          <w:b/>
          <w:sz w:val="32"/>
          <w:szCs w:val="32"/>
        </w:rPr>
      </w:pPr>
    </w:p>
    <w:p w14:paraId="1D5549D1" w14:textId="77777777" w:rsidR="007B7B3F" w:rsidRDefault="007B7B3F" w:rsidP="00BF378D">
      <w:pPr>
        <w:pStyle w:val="NoSpacing"/>
        <w:rPr>
          <w:rFonts w:ascii="Arial" w:hAnsi="Arial" w:cs="Arial"/>
          <w:b/>
          <w:sz w:val="32"/>
          <w:szCs w:val="32"/>
        </w:rPr>
      </w:pPr>
    </w:p>
    <w:p w14:paraId="7B62642D" w14:textId="77777777" w:rsidR="007B7B3F" w:rsidRDefault="007B7B3F" w:rsidP="00BF378D">
      <w:pPr>
        <w:pStyle w:val="NoSpacing"/>
        <w:rPr>
          <w:rFonts w:ascii="Arial" w:hAnsi="Arial" w:cs="Arial"/>
          <w:b/>
          <w:sz w:val="32"/>
          <w:szCs w:val="32"/>
        </w:rPr>
      </w:pPr>
    </w:p>
    <w:p w14:paraId="01682806" w14:textId="77777777" w:rsidR="007B7B3F" w:rsidRDefault="007B7B3F" w:rsidP="00BF378D">
      <w:pPr>
        <w:pStyle w:val="NoSpacing"/>
        <w:rPr>
          <w:rFonts w:ascii="Arial" w:hAnsi="Arial" w:cs="Arial"/>
          <w:b/>
          <w:sz w:val="32"/>
          <w:szCs w:val="32"/>
        </w:rPr>
      </w:pPr>
    </w:p>
    <w:p w14:paraId="4AC5EB18" w14:textId="77777777" w:rsidR="007B7B3F" w:rsidRDefault="007B7B3F" w:rsidP="00BF378D">
      <w:pPr>
        <w:pStyle w:val="NoSpacing"/>
        <w:rPr>
          <w:rFonts w:ascii="Arial" w:hAnsi="Arial" w:cs="Arial"/>
          <w:b/>
          <w:sz w:val="32"/>
          <w:szCs w:val="32"/>
        </w:rPr>
      </w:pPr>
    </w:p>
    <w:p w14:paraId="0A5517DE" w14:textId="77777777" w:rsidR="007B7B3F" w:rsidRDefault="007B7B3F" w:rsidP="00BF378D">
      <w:pPr>
        <w:pStyle w:val="NoSpacing"/>
        <w:rPr>
          <w:rFonts w:ascii="Arial" w:hAnsi="Arial" w:cs="Arial"/>
          <w:b/>
          <w:sz w:val="32"/>
          <w:szCs w:val="32"/>
        </w:rPr>
      </w:pPr>
    </w:p>
    <w:p w14:paraId="653C45D9" w14:textId="77777777" w:rsidR="007B7B3F" w:rsidRDefault="007B7B3F" w:rsidP="00BF378D">
      <w:pPr>
        <w:pStyle w:val="NoSpacing"/>
        <w:rPr>
          <w:rFonts w:ascii="Arial" w:hAnsi="Arial" w:cs="Arial"/>
          <w:b/>
          <w:sz w:val="32"/>
          <w:szCs w:val="32"/>
        </w:rPr>
      </w:pPr>
    </w:p>
    <w:p w14:paraId="2E76D889" w14:textId="77777777" w:rsidR="007B7B3F" w:rsidRDefault="007B7B3F" w:rsidP="00BF378D">
      <w:pPr>
        <w:pStyle w:val="NoSpacing"/>
        <w:rPr>
          <w:rFonts w:ascii="Arial" w:hAnsi="Arial" w:cs="Arial"/>
          <w:b/>
          <w:sz w:val="32"/>
          <w:szCs w:val="32"/>
        </w:rPr>
      </w:pPr>
    </w:p>
    <w:p w14:paraId="48AEE728" w14:textId="77777777" w:rsidR="007B7B3F" w:rsidRDefault="007B7B3F" w:rsidP="00BF378D">
      <w:pPr>
        <w:pStyle w:val="NoSpacing"/>
        <w:rPr>
          <w:rFonts w:ascii="Arial" w:hAnsi="Arial" w:cs="Arial"/>
          <w:b/>
          <w:sz w:val="32"/>
          <w:szCs w:val="32"/>
        </w:rPr>
      </w:pPr>
    </w:p>
    <w:p w14:paraId="4A4349C4" w14:textId="77777777" w:rsidR="007B7B3F" w:rsidRDefault="007B7B3F" w:rsidP="00BF378D">
      <w:pPr>
        <w:pStyle w:val="NoSpacing"/>
        <w:rPr>
          <w:rFonts w:ascii="Arial" w:hAnsi="Arial" w:cs="Arial"/>
          <w:b/>
          <w:sz w:val="32"/>
          <w:szCs w:val="32"/>
        </w:rPr>
      </w:pPr>
    </w:p>
    <w:p w14:paraId="31D66F2F" w14:textId="77777777" w:rsidR="007B7B3F" w:rsidRDefault="007B7B3F" w:rsidP="00BF378D">
      <w:pPr>
        <w:pStyle w:val="NoSpacing"/>
        <w:rPr>
          <w:rFonts w:ascii="Arial" w:hAnsi="Arial" w:cs="Arial"/>
          <w:b/>
          <w:sz w:val="32"/>
          <w:szCs w:val="32"/>
        </w:rPr>
      </w:pPr>
    </w:p>
    <w:p w14:paraId="2752A087" w14:textId="77777777" w:rsidR="007B7B3F" w:rsidRDefault="007B7B3F" w:rsidP="00BF378D">
      <w:pPr>
        <w:pStyle w:val="NoSpacing"/>
        <w:rPr>
          <w:rFonts w:ascii="Arial" w:hAnsi="Arial" w:cs="Arial"/>
          <w:b/>
          <w:sz w:val="32"/>
          <w:szCs w:val="32"/>
        </w:rPr>
      </w:pPr>
    </w:p>
    <w:p w14:paraId="1B703EB6" w14:textId="77777777" w:rsidR="007B7B3F" w:rsidRDefault="007B7B3F" w:rsidP="00BF378D">
      <w:pPr>
        <w:pStyle w:val="NoSpacing"/>
        <w:rPr>
          <w:rFonts w:ascii="Arial" w:hAnsi="Arial" w:cs="Arial"/>
          <w:b/>
          <w:sz w:val="32"/>
          <w:szCs w:val="32"/>
        </w:rPr>
      </w:pPr>
    </w:p>
    <w:p w14:paraId="1645D0B3" w14:textId="77777777" w:rsidR="007B7B3F" w:rsidRDefault="007B7B3F" w:rsidP="00BF378D">
      <w:pPr>
        <w:pStyle w:val="NoSpacing"/>
        <w:rPr>
          <w:rFonts w:ascii="Arial" w:hAnsi="Arial" w:cs="Arial"/>
          <w:b/>
          <w:sz w:val="32"/>
          <w:szCs w:val="32"/>
        </w:rPr>
      </w:pPr>
    </w:p>
    <w:p w14:paraId="46331082" w14:textId="77777777" w:rsidR="00D9710C" w:rsidRDefault="00D9710C" w:rsidP="00BF378D">
      <w:pPr>
        <w:pStyle w:val="NoSpacing"/>
        <w:rPr>
          <w:rFonts w:ascii="Arial" w:hAnsi="Arial" w:cs="Arial"/>
          <w:b/>
          <w:sz w:val="32"/>
          <w:szCs w:val="32"/>
        </w:rPr>
      </w:pPr>
    </w:p>
    <w:p w14:paraId="7C44CDE9" w14:textId="5DDC5218" w:rsidR="00D9710C" w:rsidRDefault="00D9710C" w:rsidP="00BF378D">
      <w:pPr>
        <w:pStyle w:val="NoSpacing"/>
        <w:rPr>
          <w:rFonts w:ascii="Arial" w:hAnsi="Arial" w:cs="Arial"/>
          <w:b/>
          <w:sz w:val="32"/>
          <w:szCs w:val="32"/>
        </w:rPr>
      </w:pPr>
      <w:bookmarkStart w:id="1" w:name="_Hlk39140575"/>
    </w:p>
    <w:p w14:paraId="68465AD4" w14:textId="77777777" w:rsidR="00A23F30" w:rsidRPr="00954DDF" w:rsidRDefault="00A23F30" w:rsidP="00BF378D">
      <w:pPr>
        <w:pStyle w:val="NoSpacing"/>
        <w:rPr>
          <w:rFonts w:ascii="Arial" w:hAnsi="Arial" w:cs="Arial"/>
          <w:b/>
          <w:sz w:val="28"/>
          <w:szCs w:val="28"/>
        </w:rPr>
      </w:pPr>
    </w:p>
    <w:p w14:paraId="3307AA3C" w14:textId="560AED77" w:rsidR="00B114D4" w:rsidRPr="00954DDF" w:rsidRDefault="00D11421" w:rsidP="00BF378D">
      <w:pPr>
        <w:pStyle w:val="NoSpacing"/>
        <w:rPr>
          <w:rFonts w:ascii="Arial" w:hAnsi="Arial" w:cs="Arial"/>
          <w:b/>
          <w:sz w:val="24"/>
          <w:szCs w:val="24"/>
        </w:rPr>
      </w:pPr>
      <w:r w:rsidRPr="00954DDF">
        <w:rPr>
          <w:rFonts w:ascii="Arial" w:hAnsi="Arial" w:cs="Arial"/>
          <w:b/>
          <w:sz w:val="24"/>
          <w:szCs w:val="24"/>
        </w:rPr>
        <w:t xml:space="preserve">Introduction </w:t>
      </w:r>
    </w:p>
    <w:p w14:paraId="0C28301E" w14:textId="0B3C5A99" w:rsidR="00B6783A" w:rsidRDefault="00557353" w:rsidP="005D438F">
      <w:pPr>
        <w:rPr>
          <w:rFonts w:ascii="Arial" w:hAnsi="Arial" w:cs="Arial"/>
        </w:rPr>
      </w:pPr>
      <w:r>
        <w:rPr>
          <w:rFonts w:ascii="Arial" w:hAnsi="Arial" w:cs="Arial"/>
        </w:rPr>
        <w:t xml:space="preserve">The purpose of this document is to </w:t>
      </w:r>
      <w:r w:rsidR="00B114D4" w:rsidRPr="003B5D6D">
        <w:rPr>
          <w:rFonts w:ascii="Arial" w:hAnsi="Arial" w:cs="Arial"/>
        </w:rPr>
        <w:t>create a clear operation</w:t>
      </w:r>
      <w:r w:rsidR="00CD2324" w:rsidRPr="003B5D6D">
        <w:rPr>
          <w:rFonts w:ascii="Arial" w:hAnsi="Arial" w:cs="Arial"/>
        </w:rPr>
        <w:t>al</w:t>
      </w:r>
      <w:r w:rsidR="004F55ED" w:rsidRPr="003B5D6D">
        <w:rPr>
          <w:rFonts w:ascii="Arial" w:hAnsi="Arial" w:cs="Arial"/>
        </w:rPr>
        <w:t xml:space="preserve"> process</w:t>
      </w:r>
      <w:r w:rsidR="00CD2324" w:rsidRPr="003B5D6D">
        <w:rPr>
          <w:rFonts w:ascii="Arial" w:hAnsi="Arial" w:cs="Arial"/>
        </w:rPr>
        <w:t>,</w:t>
      </w:r>
      <w:r w:rsidR="004F55ED" w:rsidRPr="003B5D6D">
        <w:rPr>
          <w:rFonts w:ascii="Arial" w:hAnsi="Arial" w:cs="Arial"/>
        </w:rPr>
        <w:t xml:space="preserve"> so that pre-sentence reports can be prepared in a</w:t>
      </w:r>
      <w:r w:rsidR="005E5A0F" w:rsidRPr="003B5D6D">
        <w:rPr>
          <w:rFonts w:ascii="Arial" w:hAnsi="Arial" w:cs="Arial"/>
        </w:rPr>
        <w:t xml:space="preserve">dvance </w:t>
      </w:r>
      <w:r w:rsidR="00B851A2" w:rsidRPr="003B5D6D">
        <w:rPr>
          <w:rFonts w:ascii="Arial" w:hAnsi="Arial" w:cs="Arial"/>
        </w:rPr>
        <w:t xml:space="preserve">of the </w:t>
      </w:r>
      <w:r w:rsidR="00EC35EC" w:rsidRPr="003B5D6D">
        <w:rPr>
          <w:rFonts w:ascii="Arial" w:hAnsi="Arial" w:cs="Arial"/>
        </w:rPr>
        <w:t xml:space="preserve">magistrates’ </w:t>
      </w:r>
      <w:r w:rsidR="00B851A2" w:rsidRPr="003B5D6D">
        <w:rPr>
          <w:rFonts w:ascii="Arial" w:hAnsi="Arial" w:cs="Arial"/>
        </w:rPr>
        <w:t xml:space="preserve">court taking a plea at </w:t>
      </w:r>
      <w:r w:rsidR="005E5A0F" w:rsidRPr="003B5D6D">
        <w:rPr>
          <w:rFonts w:ascii="Arial" w:hAnsi="Arial" w:cs="Arial"/>
        </w:rPr>
        <w:t xml:space="preserve">the </w:t>
      </w:r>
      <w:r w:rsidR="00B851A2" w:rsidRPr="003B5D6D">
        <w:rPr>
          <w:rFonts w:ascii="Arial" w:hAnsi="Arial" w:cs="Arial"/>
        </w:rPr>
        <w:t xml:space="preserve">first </w:t>
      </w:r>
      <w:r w:rsidR="005E5A0F" w:rsidRPr="003B5D6D">
        <w:rPr>
          <w:rFonts w:ascii="Arial" w:hAnsi="Arial" w:cs="Arial"/>
        </w:rPr>
        <w:t>hearing.</w:t>
      </w:r>
      <w:r w:rsidR="00B6783A" w:rsidRPr="003B5D6D">
        <w:rPr>
          <w:rFonts w:ascii="Arial" w:hAnsi="Arial" w:cs="Arial"/>
        </w:rPr>
        <w:t xml:space="preserve"> </w:t>
      </w:r>
      <w:r w:rsidR="00A23F30">
        <w:rPr>
          <w:rFonts w:ascii="Arial" w:hAnsi="Arial" w:cs="Arial"/>
        </w:rPr>
        <w:t xml:space="preserve">The signatories to the protocol have a responsibility to comply with it and the court and Crown Prosecution Service </w:t>
      </w:r>
      <w:r w:rsidR="001747A3">
        <w:rPr>
          <w:rFonts w:ascii="Arial" w:hAnsi="Arial" w:cs="Arial"/>
        </w:rPr>
        <w:t>are encouraged to facilitate it.</w:t>
      </w:r>
      <w:r w:rsidR="00A23F30">
        <w:rPr>
          <w:rFonts w:ascii="Arial" w:hAnsi="Arial" w:cs="Arial"/>
        </w:rPr>
        <w:t xml:space="preserve"> </w:t>
      </w:r>
    </w:p>
    <w:p w14:paraId="7F152316" w14:textId="3F57316E" w:rsidR="00A23F30" w:rsidRDefault="00A23F30" w:rsidP="005D438F">
      <w:pPr>
        <w:rPr>
          <w:rFonts w:ascii="Arial" w:hAnsi="Arial" w:cs="Arial"/>
          <w:b/>
        </w:rPr>
      </w:pPr>
      <w:r>
        <w:rPr>
          <w:rFonts w:ascii="Arial" w:hAnsi="Arial" w:cs="Arial"/>
          <w:b/>
        </w:rPr>
        <w:t>Legal basis</w:t>
      </w:r>
    </w:p>
    <w:p w14:paraId="2F730718" w14:textId="0DD870A4" w:rsidR="00A23F30" w:rsidRPr="00A23F30" w:rsidRDefault="00A23F30" w:rsidP="00A23F30">
      <w:pPr>
        <w:pStyle w:val="ListParagraph"/>
        <w:numPr>
          <w:ilvl w:val="0"/>
          <w:numId w:val="45"/>
        </w:numPr>
        <w:rPr>
          <w:rFonts w:ascii="Arial" w:hAnsi="Arial" w:cs="Arial"/>
          <w:b/>
        </w:rPr>
      </w:pPr>
      <w:r w:rsidRPr="003B5D6D">
        <w:rPr>
          <w:rFonts w:ascii="Arial" w:hAnsi="Arial" w:cs="Arial"/>
        </w:rPr>
        <w:t>The parties have a duty to actively assist the court by early communication to establish the defendant’s likely plea at the first available opportunity</w:t>
      </w:r>
      <w:r w:rsidRPr="003B5D6D">
        <w:rPr>
          <w:rStyle w:val="FootnoteReference"/>
          <w:rFonts w:ascii="Arial" w:hAnsi="Arial" w:cs="Arial"/>
        </w:rPr>
        <w:footnoteReference w:id="1"/>
      </w:r>
      <w:r w:rsidRPr="003B5D6D">
        <w:rPr>
          <w:rFonts w:ascii="Arial" w:hAnsi="Arial" w:cs="Arial"/>
        </w:rPr>
        <w:t>.</w:t>
      </w:r>
    </w:p>
    <w:p w14:paraId="43660105" w14:textId="6B594B2A" w:rsidR="00A23F30" w:rsidRPr="00A23F30" w:rsidRDefault="00A23F30" w:rsidP="00A23F30">
      <w:pPr>
        <w:pStyle w:val="ListParagraph"/>
        <w:numPr>
          <w:ilvl w:val="0"/>
          <w:numId w:val="45"/>
        </w:numPr>
        <w:rPr>
          <w:rFonts w:ascii="Arial" w:hAnsi="Arial" w:cs="Arial"/>
          <w:b/>
        </w:rPr>
      </w:pPr>
      <w:r w:rsidRPr="003B5D6D">
        <w:rPr>
          <w:rFonts w:ascii="Arial" w:hAnsi="Arial" w:cs="Arial"/>
        </w:rPr>
        <w:t xml:space="preserve">The court has a duty to obtain </w:t>
      </w:r>
      <w:r w:rsidRPr="00B61B0B">
        <w:rPr>
          <w:rFonts w:ascii="Arial" w:hAnsi="Arial" w:cs="Arial"/>
        </w:rPr>
        <w:t>a pre-sentence report before considering community or custodial sentences unless it decides such a report is unnecessary</w:t>
      </w:r>
      <w:r w:rsidRPr="00B61B0B">
        <w:rPr>
          <w:rStyle w:val="FootnoteReference"/>
          <w:rFonts w:ascii="Arial" w:hAnsi="Arial" w:cs="Arial"/>
        </w:rPr>
        <w:footnoteReference w:id="2"/>
      </w:r>
      <w:r w:rsidRPr="00B61B0B">
        <w:rPr>
          <w:rFonts w:ascii="Arial" w:hAnsi="Arial" w:cs="Arial"/>
        </w:rPr>
        <w:t>.</w:t>
      </w:r>
    </w:p>
    <w:p w14:paraId="7CAB63A0" w14:textId="77777777" w:rsidR="001747A3" w:rsidRDefault="001747A3" w:rsidP="001747A3">
      <w:pPr>
        <w:pStyle w:val="ListParagraph"/>
        <w:numPr>
          <w:ilvl w:val="0"/>
          <w:numId w:val="45"/>
        </w:numPr>
        <w:rPr>
          <w:rFonts w:ascii="Arial" w:hAnsi="Arial" w:cs="Arial"/>
        </w:rPr>
      </w:pPr>
      <w:r w:rsidRPr="001747A3">
        <w:rPr>
          <w:rFonts w:ascii="Arial" w:hAnsi="Arial" w:cs="Arial"/>
        </w:rPr>
        <w:t>The statutory definition of a pre-sentence report</w:t>
      </w:r>
      <w:r w:rsidRPr="00B61B0B">
        <w:rPr>
          <w:rStyle w:val="FootnoteReference"/>
          <w:rFonts w:ascii="Arial" w:hAnsi="Arial" w:cs="Arial"/>
        </w:rPr>
        <w:footnoteReference w:id="3"/>
      </w:r>
      <w:r w:rsidRPr="001747A3">
        <w:rPr>
          <w:rFonts w:ascii="Arial" w:hAnsi="Arial" w:cs="Arial"/>
        </w:rPr>
        <w:t xml:space="preserve"> means a court may consider a pre-sentence report which it has not commissioned, to meet its duty. </w:t>
      </w:r>
    </w:p>
    <w:p w14:paraId="5BA56897" w14:textId="0D8379EE" w:rsidR="00A23F30" w:rsidRPr="001747A3" w:rsidRDefault="001747A3" w:rsidP="001747A3">
      <w:pPr>
        <w:pStyle w:val="ListParagraph"/>
        <w:numPr>
          <w:ilvl w:val="0"/>
          <w:numId w:val="45"/>
        </w:numPr>
        <w:rPr>
          <w:rFonts w:ascii="Arial" w:hAnsi="Arial" w:cs="Arial"/>
        </w:rPr>
      </w:pPr>
      <w:r w:rsidRPr="001747A3">
        <w:rPr>
          <w:rFonts w:ascii="Arial" w:hAnsi="Arial" w:cs="Arial"/>
        </w:rPr>
        <w:t>The process also preserves the taking of a guilty plea by the court, following a clear acknowledgement of guilt</w:t>
      </w:r>
      <w:r w:rsidRPr="003B5D6D">
        <w:rPr>
          <w:rStyle w:val="FootnoteReference"/>
          <w:rFonts w:ascii="Arial" w:hAnsi="Arial" w:cs="Arial"/>
        </w:rPr>
        <w:footnoteReference w:id="4"/>
      </w:r>
      <w:r w:rsidRPr="001747A3">
        <w:rPr>
          <w:rFonts w:ascii="Arial" w:hAnsi="Arial" w:cs="Arial"/>
        </w:rPr>
        <w:t xml:space="preserve">. </w:t>
      </w:r>
    </w:p>
    <w:p w14:paraId="329C504B" w14:textId="77777777" w:rsidR="00B51695" w:rsidRPr="003B5D6D" w:rsidRDefault="006226C3" w:rsidP="00B51695">
      <w:pPr>
        <w:pStyle w:val="NoSpacing"/>
        <w:rPr>
          <w:rFonts w:ascii="Arial" w:hAnsi="Arial" w:cs="Arial"/>
          <w:b/>
          <w:sz w:val="24"/>
          <w:szCs w:val="24"/>
        </w:rPr>
      </w:pPr>
      <w:r w:rsidRPr="003B5D6D">
        <w:rPr>
          <w:rFonts w:ascii="Arial" w:hAnsi="Arial" w:cs="Arial"/>
          <w:b/>
          <w:sz w:val="24"/>
          <w:szCs w:val="24"/>
        </w:rPr>
        <w:t xml:space="preserve">Benefits </w:t>
      </w:r>
    </w:p>
    <w:p w14:paraId="07247120" w14:textId="0A9B47E5" w:rsidR="007165AA" w:rsidRPr="003B5D6D" w:rsidRDefault="007165AA" w:rsidP="00D9710C">
      <w:pPr>
        <w:pStyle w:val="NoSpacing"/>
        <w:rPr>
          <w:rFonts w:ascii="Arial" w:hAnsi="Arial" w:cs="Arial"/>
          <w:b/>
          <w:sz w:val="24"/>
          <w:szCs w:val="24"/>
        </w:rPr>
      </w:pPr>
      <w:r w:rsidRPr="003B5D6D">
        <w:rPr>
          <w:rFonts w:ascii="Arial" w:hAnsi="Arial" w:cs="Arial"/>
        </w:rPr>
        <w:t>The process will mutually benefit the court, defendant and criminal justice partners</w:t>
      </w:r>
      <w:r w:rsidR="00A23F30">
        <w:rPr>
          <w:rFonts w:ascii="Arial" w:hAnsi="Arial" w:cs="Arial"/>
        </w:rPr>
        <w:t xml:space="preserve"> as it will</w:t>
      </w:r>
      <w:r w:rsidR="00D9710C" w:rsidRPr="003B5D6D">
        <w:rPr>
          <w:rFonts w:ascii="Arial" w:hAnsi="Arial" w:cs="Arial"/>
        </w:rPr>
        <w:t>:</w:t>
      </w:r>
    </w:p>
    <w:p w14:paraId="09C8C875" w14:textId="5CBD187B" w:rsidR="0091295E" w:rsidRPr="00B61B0B" w:rsidRDefault="007165AA">
      <w:pPr>
        <w:pStyle w:val="ListParagraph"/>
        <w:numPr>
          <w:ilvl w:val="0"/>
          <w:numId w:val="33"/>
        </w:numPr>
        <w:rPr>
          <w:rFonts w:ascii="Arial" w:hAnsi="Arial" w:cs="Arial"/>
        </w:rPr>
      </w:pPr>
      <w:r w:rsidRPr="003B5D6D">
        <w:rPr>
          <w:rFonts w:ascii="Arial" w:hAnsi="Arial" w:cs="Arial"/>
        </w:rPr>
        <w:t xml:space="preserve">enable the court, in suitable cases, to proceed efficiently and expeditiously to sentence following a guilty plea without adjourning or standing the case down for a pre-sentence report. </w:t>
      </w:r>
    </w:p>
    <w:p w14:paraId="1D0D1BA5" w14:textId="28701216" w:rsidR="007165AA" w:rsidRPr="003B5D6D" w:rsidRDefault="007165AA" w:rsidP="009E03EE">
      <w:pPr>
        <w:pStyle w:val="ListParagraph"/>
        <w:numPr>
          <w:ilvl w:val="0"/>
          <w:numId w:val="35"/>
        </w:numPr>
        <w:rPr>
          <w:rFonts w:ascii="Arial" w:hAnsi="Arial" w:cs="Arial"/>
        </w:rPr>
      </w:pPr>
      <w:r w:rsidRPr="003B5D6D">
        <w:rPr>
          <w:rFonts w:ascii="Arial" w:hAnsi="Arial" w:cs="Arial"/>
        </w:rPr>
        <w:t xml:space="preserve">enable </w:t>
      </w:r>
      <w:r w:rsidR="0091295E">
        <w:rPr>
          <w:rFonts w:ascii="Arial" w:hAnsi="Arial" w:cs="Arial"/>
        </w:rPr>
        <w:t xml:space="preserve">more flexibility </w:t>
      </w:r>
      <w:r w:rsidR="000A4DCD">
        <w:rPr>
          <w:rFonts w:ascii="Arial" w:hAnsi="Arial" w:cs="Arial"/>
        </w:rPr>
        <w:t xml:space="preserve">in scheduling </w:t>
      </w:r>
      <w:r w:rsidR="0091295E">
        <w:rPr>
          <w:rFonts w:ascii="Arial" w:hAnsi="Arial" w:cs="Arial"/>
        </w:rPr>
        <w:t>the pre-senten</w:t>
      </w:r>
      <w:r w:rsidR="000A4DCD">
        <w:rPr>
          <w:rFonts w:ascii="Arial" w:hAnsi="Arial" w:cs="Arial"/>
        </w:rPr>
        <w:t xml:space="preserve">ce report interview, which takes place </w:t>
      </w:r>
      <w:r w:rsidR="0091295E">
        <w:rPr>
          <w:rFonts w:ascii="Arial" w:hAnsi="Arial" w:cs="Arial"/>
        </w:rPr>
        <w:t>prior to the hearing. The defence may ask the legal adviser, where necessary, to vary the first hearing date</w:t>
      </w:r>
      <w:r w:rsidR="00E27C06">
        <w:rPr>
          <w:rFonts w:ascii="Arial" w:hAnsi="Arial" w:cs="Arial"/>
        </w:rPr>
        <w:t xml:space="preserve"> to ensure</w:t>
      </w:r>
      <w:r w:rsidR="0091295E">
        <w:rPr>
          <w:rFonts w:ascii="Arial" w:hAnsi="Arial" w:cs="Arial"/>
        </w:rPr>
        <w:t xml:space="preserve"> there is sufficient time to produce the report</w:t>
      </w:r>
    </w:p>
    <w:p w14:paraId="71744AD7" w14:textId="013F9D54" w:rsidR="006226C3" w:rsidRPr="003B5D6D" w:rsidRDefault="007165AA" w:rsidP="009E03EE">
      <w:pPr>
        <w:pStyle w:val="ListParagraph"/>
        <w:numPr>
          <w:ilvl w:val="0"/>
          <w:numId w:val="35"/>
        </w:numPr>
        <w:rPr>
          <w:rFonts w:ascii="Arial" w:hAnsi="Arial" w:cs="Arial"/>
        </w:rPr>
      </w:pPr>
      <w:r w:rsidRPr="003B5D6D">
        <w:rPr>
          <w:rFonts w:ascii="Arial" w:hAnsi="Arial" w:cs="Arial"/>
        </w:rPr>
        <w:t>reduce the time spent physically at court, when social distancing measures are in place, therefore protecting all parties’ welfare during the pandemic.</w:t>
      </w:r>
    </w:p>
    <w:p w14:paraId="072E8DEF" w14:textId="77777777" w:rsidR="001935F3" w:rsidRPr="003B5D6D" w:rsidRDefault="00A872F6" w:rsidP="001935F3">
      <w:pPr>
        <w:pStyle w:val="NoSpacing"/>
        <w:rPr>
          <w:rFonts w:ascii="Arial" w:hAnsi="Arial" w:cs="Arial"/>
          <w:b/>
          <w:sz w:val="24"/>
          <w:szCs w:val="24"/>
        </w:rPr>
      </w:pPr>
      <w:r w:rsidRPr="003B5D6D">
        <w:rPr>
          <w:rFonts w:ascii="Arial" w:hAnsi="Arial" w:cs="Arial"/>
          <w:b/>
          <w:sz w:val="24"/>
          <w:szCs w:val="24"/>
        </w:rPr>
        <w:t xml:space="preserve">Scope </w:t>
      </w:r>
    </w:p>
    <w:p w14:paraId="2007CD90" w14:textId="21DE38A1" w:rsidR="00FF55A9" w:rsidRPr="003B5D6D" w:rsidRDefault="00557353" w:rsidP="001935F3">
      <w:pPr>
        <w:pStyle w:val="NoSpacing"/>
        <w:rPr>
          <w:rFonts w:ascii="Arial" w:hAnsi="Arial" w:cs="Arial"/>
        </w:rPr>
      </w:pPr>
      <w:r>
        <w:rPr>
          <w:rFonts w:ascii="Arial" w:hAnsi="Arial" w:cs="Arial"/>
        </w:rPr>
        <w:t>A pre-sentence report</w:t>
      </w:r>
      <w:r w:rsidR="00A872F6" w:rsidRPr="003B5D6D">
        <w:rPr>
          <w:rFonts w:ascii="Arial" w:hAnsi="Arial" w:cs="Arial"/>
        </w:rPr>
        <w:t xml:space="preserve"> applies </w:t>
      </w:r>
      <w:r w:rsidR="00244105" w:rsidRPr="003B5D6D">
        <w:rPr>
          <w:rFonts w:ascii="Arial" w:hAnsi="Arial" w:cs="Arial"/>
        </w:rPr>
        <w:t>where:</w:t>
      </w:r>
    </w:p>
    <w:p w14:paraId="4A50D13D" w14:textId="05F53395" w:rsidR="00D9710C" w:rsidRPr="003B5D6D" w:rsidRDefault="003B5D6D" w:rsidP="00D9710C">
      <w:pPr>
        <w:pStyle w:val="NoSpacing"/>
        <w:numPr>
          <w:ilvl w:val="0"/>
          <w:numId w:val="14"/>
        </w:numPr>
        <w:rPr>
          <w:rFonts w:ascii="Arial" w:hAnsi="Arial" w:cs="Arial"/>
        </w:rPr>
      </w:pPr>
      <w:r>
        <w:rPr>
          <w:rFonts w:ascii="Arial" w:hAnsi="Arial" w:cs="Arial"/>
        </w:rPr>
        <w:t>i</w:t>
      </w:r>
      <w:r w:rsidR="00244105" w:rsidRPr="003B5D6D">
        <w:rPr>
          <w:rFonts w:ascii="Arial" w:hAnsi="Arial" w:cs="Arial"/>
        </w:rPr>
        <w:t xml:space="preserve">t is anticipated that </w:t>
      </w:r>
      <w:r w:rsidR="007540F2" w:rsidRPr="003B5D6D">
        <w:rPr>
          <w:rFonts w:ascii="Arial" w:hAnsi="Arial" w:cs="Arial"/>
        </w:rPr>
        <w:t>an adult defendant</w:t>
      </w:r>
      <w:r w:rsidR="00244105" w:rsidRPr="003B5D6D">
        <w:rPr>
          <w:rFonts w:ascii="Arial" w:hAnsi="Arial" w:cs="Arial"/>
        </w:rPr>
        <w:t xml:space="preserve">, </w:t>
      </w:r>
      <w:r w:rsidR="007540F2" w:rsidRPr="003B5D6D">
        <w:rPr>
          <w:rFonts w:ascii="Arial" w:hAnsi="Arial" w:cs="Arial"/>
        </w:rPr>
        <w:t>charged to appear before a GAP or NGAP hearing on bail or postal requisition</w:t>
      </w:r>
      <w:r w:rsidR="00244105" w:rsidRPr="003B5D6D">
        <w:rPr>
          <w:rFonts w:ascii="Arial" w:hAnsi="Arial" w:cs="Arial"/>
        </w:rPr>
        <w:t xml:space="preserve">, will be sentenced in the magistrates’ court; for offences triable either way </w:t>
      </w:r>
      <w:r w:rsidR="007540F2" w:rsidRPr="003B5D6D">
        <w:rPr>
          <w:rFonts w:ascii="Arial" w:hAnsi="Arial" w:cs="Arial"/>
        </w:rPr>
        <w:t xml:space="preserve">see Sentencing Council </w:t>
      </w:r>
      <w:hyperlink r:id="rId14" w:history="1">
        <w:r w:rsidR="007540F2" w:rsidRPr="003B5D6D">
          <w:rPr>
            <w:rStyle w:val="Hyperlink"/>
            <w:rFonts w:ascii="Arial" w:hAnsi="Arial" w:cs="Arial"/>
          </w:rPr>
          <w:t>allocation guideline</w:t>
        </w:r>
      </w:hyperlink>
      <w:r>
        <w:rPr>
          <w:rStyle w:val="Hyperlink"/>
          <w:rFonts w:ascii="Arial" w:hAnsi="Arial" w:cs="Arial"/>
        </w:rPr>
        <w:t>,</w:t>
      </w:r>
    </w:p>
    <w:p w14:paraId="69CCC99A" w14:textId="51223C50" w:rsidR="00106BCA" w:rsidRPr="003B5D6D" w:rsidRDefault="00106BCA" w:rsidP="00811238">
      <w:pPr>
        <w:pStyle w:val="NoSpacing"/>
        <w:numPr>
          <w:ilvl w:val="0"/>
          <w:numId w:val="14"/>
        </w:numPr>
        <w:rPr>
          <w:rFonts w:ascii="Arial" w:hAnsi="Arial" w:cs="Arial"/>
        </w:rPr>
      </w:pPr>
      <w:r w:rsidRPr="003B5D6D">
        <w:rPr>
          <w:rFonts w:ascii="Arial" w:hAnsi="Arial" w:cs="Arial"/>
        </w:rPr>
        <w:t xml:space="preserve">a defendant is willing to indicate a guilty </w:t>
      </w:r>
      <w:r w:rsidRPr="00B61B0B">
        <w:rPr>
          <w:rFonts w:ascii="Arial" w:hAnsi="Arial" w:cs="Arial"/>
        </w:rPr>
        <w:t xml:space="preserve">plea to </w:t>
      </w:r>
      <w:r w:rsidR="00322946" w:rsidRPr="00B61B0B">
        <w:rPr>
          <w:rFonts w:ascii="Arial" w:hAnsi="Arial" w:cs="Arial"/>
        </w:rPr>
        <w:t>all offences charged</w:t>
      </w:r>
      <w:r w:rsidR="00B3474D" w:rsidRPr="00B61B0B">
        <w:rPr>
          <w:rFonts w:ascii="Arial" w:hAnsi="Arial" w:cs="Arial"/>
        </w:rPr>
        <w:t xml:space="preserve"> </w:t>
      </w:r>
      <w:r w:rsidRPr="00B61B0B">
        <w:rPr>
          <w:rFonts w:ascii="Arial" w:hAnsi="Arial" w:cs="Arial"/>
        </w:rPr>
        <w:t>on the full</w:t>
      </w:r>
      <w:r w:rsidRPr="003B5D6D">
        <w:rPr>
          <w:rFonts w:ascii="Arial" w:hAnsi="Arial" w:cs="Arial"/>
        </w:rPr>
        <w:t xml:space="preserve"> prosecution basis</w:t>
      </w:r>
      <w:r w:rsidR="0091295E">
        <w:rPr>
          <w:rFonts w:ascii="Arial" w:hAnsi="Arial" w:cs="Arial"/>
        </w:rPr>
        <w:t>.</w:t>
      </w:r>
    </w:p>
    <w:p w14:paraId="29C2266F" w14:textId="7A3D8AEC" w:rsidR="00D9710C" w:rsidRDefault="00770A60" w:rsidP="00B51695">
      <w:pPr>
        <w:pStyle w:val="NoSpacing"/>
        <w:numPr>
          <w:ilvl w:val="0"/>
          <w:numId w:val="14"/>
        </w:numPr>
        <w:rPr>
          <w:rFonts w:ascii="Arial" w:hAnsi="Arial" w:cs="Arial"/>
        </w:rPr>
      </w:pPr>
      <w:r w:rsidRPr="003B5D6D">
        <w:rPr>
          <w:rFonts w:ascii="Arial" w:hAnsi="Arial" w:cs="Arial"/>
        </w:rPr>
        <w:t xml:space="preserve"> a defence legal representative</w:t>
      </w:r>
      <w:r w:rsidR="00244105" w:rsidRPr="003B5D6D">
        <w:rPr>
          <w:rFonts w:ascii="Arial" w:hAnsi="Arial" w:cs="Arial"/>
        </w:rPr>
        <w:t>,</w:t>
      </w:r>
      <w:r w:rsidRPr="003B5D6D">
        <w:rPr>
          <w:rFonts w:ascii="Arial" w:hAnsi="Arial" w:cs="Arial"/>
        </w:rPr>
        <w:t xml:space="preserve"> on behalf of their client, requests</w:t>
      </w:r>
      <w:r w:rsidR="00E46A43" w:rsidRPr="003B5D6D">
        <w:rPr>
          <w:rFonts w:ascii="Arial" w:hAnsi="Arial" w:cs="Arial"/>
        </w:rPr>
        <w:t xml:space="preserve"> a PSR Before Plea</w:t>
      </w:r>
      <w:r w:rsidRPr="003B5D6D">
        <w:rPr>
          <w:rFonts w:ascii="Arial" w:hAnsi="Arial" w:cs="Arial"/>
        </w:rPr>
        <w:t>.</w:t>
      </w:r>
      <w:bookmarkEnd w:id="1"/>
    </w:p>
    <w:p w14:paraId="26078628" w14:textId="77777777" w:rsidR="000A4DCD" w:rsidRPr="003B5D6D" w:rsidRDefault="000A4DCD" w:rsidP="00B61B0B">
      <w:pPr>
        <w:pStyle w:val="NoSpacing"/>
        <w:ind w:left="786"/>
        <w:rPr>
          <w:rFonts w:ascii="Arial" w:hAnsi="Arial" w:cs="Arial"/>
        </w:rPr>
      </w:pPr>
    </w:p>
    <w:p w14:paraId="519D0CC2" w14:textId="695BDFEF" w:rsidR="00D9710C" w:rsidRDefault="00D9710C" w:rsidP="00D9710C">
      <w:pPr>
        <w:pStyle w:val="NoSpacing"/>
        <w:ind w:left="142"/>
        <w:rPr>
          <w:rFonts w:ascii="Arial" w:hAnsi="Arial" w:cs="Arial"/>
          <w:szCs w:val="36"/>
        </w:rPr>
      </w:pPr>
      <w:r w:rsidRPr="003B5D6D">
        <w:rPr>
          <w:rFonts w:ascii="Arial" w:hAnsi="Arial" w:cs="Arial"/>
          <w:szCs w:val="36"/>
        </w:rPr>
        <w:t xml:space="preserve">This protocol does </w:t>
      </w:r>
      <w:r w:rsidRPr="003B5D6D">
        <w:rPr>
          <w:rFonts w:ascii="Arial" w:hAnsi="Arial" w:cs="Arial"/>
          <w:b/>
          <w:szCs w:val="36"/>
        </w:rPr>
        <w:t xml:space="preserve">NOT </w:t>
      </w:r>
      <w:r w:rsidRPr="003B5D6D">
        <w:rPr>
          <w:rFonts w:ascii="Arial" w:hAnsi="Arial" w:cs="Arial"/>
          <w:szCs w:val="36"/>
        </w:rPr>
        <w:t>apply</w:t>
      </w:r>
      <w:r w:rsidRPr="003B5D6D">
        <w:rPr>
          <w:rFonts w:ascii="Arial" w:hAnsi="Arial" w:cs="Arial"/>
          <w:b/>
          <w:szCs w:val="36"/>
        </w:rPr>
        <w:t xml:space="preserve"> </w:t>
      </w:r>
      <w:r w:rsidRPr="003B5D6D">
        <w:rPr>
          <w:rFonts w:ascii="Arial" w:hAnsi="Arial" w:cs="Arial"/>
          <w:szCs w:val="36"/>
        </w:rPr>
        <w:t>to cases</w:t>
      </w:r>
      <w:r w:rsidRPr="003B5D6D">
        <w:rPr>
          <w:rFonts w:ascii="Arial" w:hAnsi="Arial" w:cs="Arial"/>
          <w:b/>
          <w:szCs w:val="36"/>
        </w:rPr>
        <w:t xml:space="preserve"> </w:t>
      </w:r>
      <w:r w:rsidRPr="003B5D6D">
        <w:rPr>
          <w:rFonts w:ascii="Arial" w:hAnsi="Arial" w:cs="Arial"/>
          <w:szCs w:val="36"/>
        </w:rPr>
        <w:t>to be</w:t>
      </w:r>
      <w:r w:rsidRPr="003B5D6D">
        <w:rPr>
          <w:rFonts w:ascii="Arial" w:hAnsi="Arial" w:cs="Arial"/>
          <w:b/>
          <w:szCs w:val="36"/>
        </w:rPr>
        <w:t xml:space="preserve"> </w:t>
      </w:r>
      <w:r w:rsidRPr="003B5D6D">
        <w:rPr>
          <w:rFonts w:ascii="Arial" w:hAnsi="Arial" w:cs="Arial"/>
          <w:szCs w:val="36"/>
        </w:rPr>
        <w:t>sent or commi</w:t>
      </w:r>
      <w:r w:rsidR="003B5D6D">
        <w:rPr>
          <w:rFonts w:ascii="Arial" w:hAnsi="Arial" w:cs="Arial"/>
          <w:szCs w:val="36"/>
        </w:rPr>
        <w:t>tted for sentence to the Crown C</w:t>
      </w:r>
      <w:r w:rsidRPr="003B5D6D">
        <w:rPr>
          <w:rFonts w:ascii="Arial" w:hAnsi="Arial" w:cs="Arial"/>
          <w:szCs w:val="36"/>
        </w:rPr>
        <w:t xml:space="preserve">ourt where </w:t>
      </w:r>
      <w:hyperlink r:id="rId15" w:history="1">
        <w:proofErr w:type="spellStart"/>
        <w:r w:rsidRPr="003B5D6D">
          <w:rPr>
            <w:rStyle w:val="Hyperlink"/>
            <w:rFonts w:ascii="Arial" w:hAnsi="Arial" w:cs="Arial"/>
            <w:szCs w:val="36"/>
          </w:rPr>
          <w:t>CrimPD</w:t>
        </w:r>
        <w:proofErr w:type="spellEnd"/>
        <w:r w:rsidRPr="003B5D6D">
          <w:rPr>
            <w:rStyle w:val="Hyperlink"/>
            <w:rFonts w:ascii="Arial" w:hAnsi="Arial" w:cs="Arial"/>
            <w:szCs w:val="36"/>
          </w:rPr>
          <w:t xml:space="preserve"> 3A.9</w:t>
        </w:r>
      </w:hyperlink>
      <w:r w:rsidRPr="003B5D6D">
        <w:rPr>
          <w:rFonts w:ascii="Arial" w:hAnsi="Arial" w:cs="Arial"/>
          <w:szCs w:val="36"/>
        </w:rPr>
        <w:t xml:space="preserve"> and guidance within the Better Case Management handbook</w:t>
      </w:r>
      <w:r w:rsidRPr="003B5D6D">
        <w:rPr>
          <w:rStyle w:val="FootnoteReference"/>
          <w:rFonts w:ascii="Arial" w:hAnsi="Arial" w:cs="Arial"/>
          <w:szCs w:val="36"/>
        </w:rPr>
        <w:footnoteReference w:id="5"/>
      </w:r>
      <w:r w:rsidRPr="003B5D6D">
        <w:rPr>
          <w:rFonts w:ascii="Arial" w:hAnsi="Arial" w:cs="Arial"/>
          <w:szCs w:val="36"/>
        </w:rPr>
        <w:t xml:space="preserve"> should continue to apply. </w:t>
      </w:r>
    </w:p>
    <w:p w14:paraId="04AABBFB" w14:textId="24FA42BC" w:rsidR="00A23F30" w:rsidRDefault="00A23F30" w:rsidP="00D9710C">
      <w:pPr>
        <w:pStyle w:val="NoSpacing"/>
        <w:ind w:left="142"/>
        <w:rPr>
          <w:rFonts w:ascii="Arial" w:hAnsi="Arial" w:cs="Arial"/>
          <w:szCs w:val="36"/>
        </w:rPr>
      </w:pPr>
    </w:p>
    <w:p w14:paraId="2FDEE2C4" w14:textId="2C5281B0" w:rsidR="00A23F30" w:rsidRDefault="00A23F30" w:rsidP="00D9710C">
      <w:pPr>
        <w:pStyle w:val="NoSpacing"/>
        <w:ind w:left="142"/>
        <w:rPr>
          <w:rFonts w:ascii="Arial" w:hAnsi="Arial" w:cs="Arial"/>
          <w:b/>
          <w:szCs w:val="36"/>
        </w:rPr>
      </w:pPr>
      <w:r>
        <w:rPr>
          <w:rFonts w:ascii="Arial" w:hAnsi="Arial" w:cs="Arial"/>
          <w:b/>
          <w:szCs w:val="36"/>
        </w:rPr>
        <w:t>Process</w:t>
      </w:r>
    </w:p>
    <w:p w14:paraId="74461367" w14:textId="468DBCA6" w:rsidR="00A23F30" w:rsidRPr="00A23F30" w:rsidRDefault="00A23F30" w:rsidP="00D9710C">
      <w:pPr>
        <w:pStyle w:val="NoSpacing"/>
        <w:ind w:left="142"/>
        <w:rPr>
          <w:rFonts w:ascii="Arial" w:hAnsi="Arial" w:cs="Arial"/>
          <w:b/>
        </w:rPr>
      </w:pPr>
      <w:r>
        <w:rPr>
          <w:rFonts w:ascii="Arial" w:hAnsi="Arial" w:cs="Arial"/>
        </w:rPr>
        <w:t>The</w:t>
      </w:r>
      <w:r w:rsidRPr="003B5D6D">
        <w:rPr>
          <w:rFonts w:ascii="Arial" w:hAnsi="Arial" w:cs="Arial"/>
        </w:rPr>
        <w:t xml:space="preserve"> process is set out in </w:t>
      </w:r>
      <w:r w:rsidRPr="00A23F30">
        <w:rPr>
          <w:rFonts w:ascii="Arial" w:hAnsi="Arial" w:cs="Arial"/>
          <w:b/>
        </w:rPr>
        <w:t>Annex A</w:t>
      </w:r>
      <w:r w:rsidRPr="003B5D6D">
        <w:rPr>
          <w:rFonts w:ascii="Arial" w:hAnsi="Arial" w:cs="Arial"/>
        </w:rPr>
        <w:t xml:space="preserve">. The form used to request a Pre-Sentence Report Before Plea is attached at </w:t>
      </w:r>
      <w:r w:rsidRPr="00A23F30">
        <w:rPr>
          <w:rFonts w:ascii="Arial" w:hAnsi="Arial" w:cs="Arial"/>
          <w:b/>
        </w:rPr>
        <w:t>Annex B</w:t>
      </w:r>
      <w:r w:rsidRPr="003B5D6D">
        <w:rPr>
          <w:rFonts w:ascii="Arial" w:hAnsi="Arial" w:cs="Arial"/>
        </w:rPr>
        <w:t xml:space="preserve"> (“the applicable form”).</w:t>
      </w:r>
    </w:p>
    <w:p w14:paraId="7EA9821C" w14:textId="77777777" w:rsidR="00D9710C" w:rsidRPr="003B5D6D" w:rsidRDefault="00D9710C" w:rsidP="00D9710C">
      <w:pPr>
        <w:pStyle w:val="NoSpacing"/>
        <w:ind w:left="502"/>
        <w:rPr>
          <w:rFonts w:ascii="Arial" w:hAnsi="Arial" w:cs="Arial"/>
        </w:rPr>
      </w:pPr>
    </w:p>
    <w:p w14:paraId="76076EF8" w14:textId="77777777" w:rsidR="00B114D4" w:rsidRPr="00135376" w:rsidRDefault="00B114D4" w:rsidP="00BF378D">
      <w:pPr>
        <w:pStyle w:val="NoSpacing"/>
        <w:rPr>
          <w:rFonts w:ascii="Arial" w:hAnsi="Arial" w:cs="Arial"/>
          <w:b/>
          <w:sz w:val="24"/>
          <w:szCs w:val="24"/>
        </w:rPr>
      </w:pPr>
      <w:r w:rsidRPr="00135376">
        <w:rPr>
          <w:rFonts w:ascii="Arial" w:hAnsi="Arial" w:cs="Arial"/>
          <w:b/>
          <w:sz w:val="24"/>
          <w:szCs w:val="24"/>
        </w:rPr>
        <w:t>Compliance</w:t>
      </w:r>
    </w:p>
    <w:p w14:paraId="163928D7" w14:textId="10B52BD4" w:rsidR="00B114D4" w:rsidRPr="00135376" w:rsidRDefault="00B114D4" w:rsidP="00B114D4">
      <w:pPr>
        <w:pStyle w:val="NoSpacing"/>
        <w:rPr>
          <w:rFonts w:ascii="Arial" w:hAnsi="Arial" w:cs="Arial"/>
        </w:rPr>
      </w:pPr>
      <w:r w:rsidRPr="00135376">
        <w:rPr>
          <w:rFonts w:ascii="Arial" w:hAnsi="Arial" w:cs="Arial"/>
        </w:rPr>
        <w:t xml:space="preserve">In the event of parties consistently failing to comply with their responsibilities under the protocol the matter is to be reported to the </w:t>
      </w:r>
      <w:r w:rsidR="004316B0" w:rsidRPr="00135376">
        <w:rPr>
          <w:rFonts w:ascii="Arial" w:hAnsi="Arial" w:cs="Arial"/>
        </w:rPr>
        <w:t xml:space="preserve">Local Criminal Justice </w:t>
      </w:r>
      <w:r w:rsidRPr="00135376">
        <w:rPr>
          <w:rFonts w:ascii="Arial" w:hAnsi="Arial" w:cs="Arial"/>
        </w:rPr>
        <w:t xml:space="preserve">Board.  </w:t>
      </w:r>
    </w:p>
    <w:p w14:paraId="77240899" w14:textId="77777777" w:rsidR="00291C5E" w:rsidRPr="00135376" w:rsidRDefault="00291C5E" w:rsidP="00B114D4">
      <w:pPr>
        <w:pStyle w:val="NoSpacing"/>
        <w:rPr>
          <w:rFonts w:ascii="Arial" w:hAnsi="Arial" w:cs="Arial"/>
          <w:b/>
          <w:sz w:val="24"/>
          <w:szCs w:val="24"/>
        </w:rPr>
      </w:pPr>
    </w:p>
    <w:p w14:paraId="1567E08E" w14:textId="58BC4851" w:rsidR="0066612B" w:rsidRDefault="00860ACE" w:rsidP="00B114D4">
      <w:pPr>
        <w:pStyle w:val="NoSpacing"/>
        <w:rPr>
          <w:rFonts w:ascii="Arial" w:hAnsi="Arial" w:cs="Arial"/>
          <w:b/>
          <w:sz w:val="24"/>
          <w:szCs w:val="24"/>
        </w:rPr>
      </w:pPr>
      <w:r w:rsidRPr="008D1A5F">
        <w:rPr>
          <w:noProof/>
          <w:lang w:eastAsia="en-GB"/>
        </w:rPr>
        <w:drawing>
          <wp:anchor distT="0" distB="0" distL="114300" distR="114300" simplePos="0" relativeHeight="251659264" behindDoc="0" locked="0" layoutInCell="1" allowOverlap="1" wp14:anchorId="0AAD0A70" wp14:editId="6C9773AD">
            <wp:simplePos x="0" y="0"/>
            <wp:positionH relativeFrom="margin">
              <wp:posOffset>2354580</wp:posOffset>
            </wp:positionH>
            <wp:positionV relativeFrom="paragraph">
              <wp:posOffset>5715</wp:posOffset>
            </wp:positionV>
            <wp:extent cx="151257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257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90BF4" w14:textId="0E86B51E" w:rsidR="00B114D4" w:rsidRPr="003B5D6D" w:rsidRDefault="00B114D4" w:rsidP="00B114D4">
      <w:pPr>
        <w:pStyle w:val="NoSpacing"/>
        <w:rPr>
          <w:rFonts w:ascii="Arial" w:hAnsi="Arial" w:cs="Arial"/>
          <w:b/>
          <w:sz w:val="24"/>
          <w:szCs w:val="24"/>
        </w:rPr>
      </w:pPr>
      <w:r w:rsidRPr="00135376">
        <w:rPr>
          <w:rFonts w:ascii="Arial" w:hAnsi="Arial" w:cs="Arial"/>
          <w:b/>
          <w:sz w:val="24"/>
          <w:szCs w:val="24"/>
        </w:rPr>
        <w:t>Signatories</w:t>
      </w:r>
    </w:p>
    <w:p w14:paraId="46E587CD" w14:textId="45871676" w:rsidR="009D7F8E" w:rsidRDefault="009D7F8E" w:rsidP="00B114D4">
      <w:pPr>
        <w:pStyle w:val="NoSpacing"/>
        <w:rPr>
          <w:rFonts w:ascii="Arial" w:hAnsi="Arial" w:cs="Arial"/>
        </w:rPr>
      </w:pPr>
    </w:p>
    <w:p w14:paraId="07627904" w14:textId="287E1491" w:rsidR="002F22F8" w:rsidRPr="003B5D6D" w:rsidRDefault="00135376" w:rsidP="00B114D4">
      <w:pPr>
        <w:pStyle w:val="NoSpacing"/>
        <w:rPr>
          <w:rFonts w:ascii="Arial" w:hAnsi="Arial" w:cs="Arial"/>
        </w:rPr>
      </w:pPr>
      <w:r>
        <w:rPr>
          <w:rFonts w:ascii="Arial" w:hAnsi="Arial" w:cs="Arial"/>
        </w:rPr>
        <w:tab/>
      </w:r>
    </w:p>
    <w:p w14:paraId="1F496F58" w14:textId="77777777" w:rsidR="008B4EAB" w:rsidRDefault="008B4EAB" w:rsidP="00B114D4">
      <w:pPr>
        <w:pStyle w:val="NoSpacing"/>
        <w:rPr>
          <w:rFonts w:ascii="Arial" w:hAnsi="Arial" w:cs="Arial"/>
        </w:rPr>
      </w:pPr>
    </w:p>
    <w:p w14:paraId="74C4AFFC" w14:textId="01AC1AA3" w:rsidR="005904AC" w:rsidRPr="005904AC" w:rsidRDefault="00803A03" w:rsidP="005904AC">
      <w:pPr>
        <w:pStyle w:val="NoSpacing"/>
        <w:rPr>
          <w:rFonts w:ascii="Arial" w:hAnsi="Arial" w:cs="Arial"/>
        </w:rPr>
      </w:pPr>
      <w:r>
        <w:rPr>
          <w:rFonts w:ascii="Arial" w:hAnsi="Arial" w:cs="Arial"/>
        </w:rPr>
        <w:t>National Probation Service</w:t>
      </w:r>
      <w:r w:rsidR="00135376">
        <w:rPr>
          <w:rFonts w:ascii="Arial" w:hAnsi="Arial" w:cs="Arial"/>
        </w:rPr>
        <w:t xml:space="preserve">: </w:t>
      </w:r>
      <w:r w:rsidR="00135376">
        <w:rPr>
          <w:rFonts w:ascii="Arial" w:hAnsi="Arial" w:cs="Arial"/>
        </w:rPr>
        <w:tab/>
      </w:r>
      <w:r w:rsidR="00135376">
        <w:rPr>
          <w:rFonts w:ascii="Arial" w:hAnsi="Arial" w:cs="Arial"/>
        </w:rPr>
        <w:tab/>
      </w:r>
      <w:r w:rsidR="00A6213D">
        <w:rPr>
          <w:rFonts w:ascii="Arial" w:hAnsi="Arial" w:cs="Arial"/>
        </w:rPr>
        <w:t>Sonia Flynn</w:t>
      </w:r>
    </w:p>
    <w:p w14:paraId="38A0569A" w14:textId="6A7FFFA8" w:rsidR="005904AC" w:rsidRPr="005904AC" w:rsidRDefault="00A6213D" w:rsidP="005904AC">
      <w:pPr>
        <w:pStyle w:val="NoSpacing"/>
        <w:ind w:left="2880" w:firstLine="720"/>
        <w:rPr>
          <w:rFonts w:ascii="Arial" w:hAnsi="Arial" w:cs="Arial"/>
        </w:rPr>
      </w:pPr>
      <w:r>
        <w:rPr>
          <w:rFonts w:ascii="Arial" w:hAnsi="Arial" w:cs="Arial"/>
        </w:rPr>
        <w:t xml:space="preserve">Chief </w:t>
      </w:r>
      <w:r w:rsidR="005904AC" w:rsidRPr="005904AC">
        <w:rPr>
          <w:rFonts w:ascii="Arial" w:hAnsi="Arial" w:cs="Arial"/>
        </w:rPr>
        <w:t xml:space="preserve">Probation </w:t>
      </w:r>
      <w:r>
        <w:rPr>
          <w:rFonts w:ascii="Arial" w:hAnsi="Arial" w:cs="Arial"/>
        </w:rPr>
        <w:t>Officer</w:t>
      </w:r>
      <w:r w:rsidR="005904AC" w:rsidRPr="005904AC">
        <w:rPr>
          <w:rFonts w:ascii="Arial" w:hAnsi="Arial" w:cs="Arial"/>
        </w:rPr>
        <w:t xml:space="preserve"> </w:t>
      </w:r>
    </w:p>
    <w:p w14:paraId="2150C023" w14:textId="62EB2C7B" w:rsidR="00803A03" w:rsidRDefault="00803A03" w:rsidP="00B114D4">
      <w:pPr>
        <w:pStyle w:val="NoSpacing"/>
        <w:rPr>
          <w:rFonts w:ascii="Arial" w:hAnsi="Arial" w:cs="Arial"/>
        </w:rPr>
      </w:pPr>
    </w:p>
    <w:p w14:paraId="0299835A" w14:textId="012B32A4" w:rsidR="00135376" w:rsidRPr="003B5D6D" w:rsidRDefault="00135376" w:rsidP="00B114D4">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80B5475" w14:textId="77777777" w:rsidR="008B4EAB" w:rsidRDefault="008B4EAB" w:rsidP="00B114D4">
      <w:pPr>
        <w:pStyle w:val="NoSpacing"/>
        <w:rPr>
          <w:rFonts w:ascii="Arial" w:hAnsi="Arial" w:cs="Arial"/>
        </w:rPr>
      </w:pPr>
    </w:p>
    <w:p w14:paraId="6D1C54E1" w14:textId="72F11FD7" w:rsidR="0097722A" w:rsidRDefault="0097722A" w:rsidP="00B114D4">
      <w:pPr>
        <w:pStyle w:val="NoSpacing"/>
        <w:rPr>
          <w:rFonts w:ascii="Arial" w:hAnsi="Arial" w:cs="Arial"/>
        </w:rPr>
      </w:pPr>
      <w:r>
        <w:rPr>
          <w:rFonts w:ascii="Arial" w:hAnsi="Arial" w:cs="Arial"/>
        </w:rPr>
        <w:tab/>
      </w:r>
    </w:p>
    <w:p w14:paraId="69C5CAC3" w14:textId="131DF0F6" w:rsidR="0097722A" w:rsidRDefault="0097722A" w:rsidP="0097722A">
      <w:pPr>
        <w:pStyle w:val="NoSpacing"/>
        <w:ind w:left="2880" w:firstLine="720"/>
        <w:rPr>
          <w:rFonts w:ascii="Arial" w:hAnsi="Arial" w:cs="Arial"/>
        </w:rPr>
      </w:pPr>
      <w:r>
        <w:rPr>
          <w:rFonts w:ascii="Arial" w:hAnsi="Arial" w:cs="Arial"/>
          <w:noProof/>
          <w:lang w:eastAsia="en-GB"/>
        </w:rPr>
        <w:drawing>
          <wp:inline distT="0" distB="0" distL="0" distR="0" wp14:anchorId="75905A34" wp14:editId="79788A64">
            <wp:extent cx="829310" cy="433070"/>
            <wp:effectExtent l="0" t="0" r="889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310" cy="433070"/>
                    </a:xfrm>
                    <a:prstGeom prst="rect">
                      <a:avLst/>
                    </a:prstGeom>
                    <a:noFill/>
                  </pic:spPr>
                </pic:pic>
              </a:graphicData>
            </a:graphic>
          </wp:inline>
        </w:drawing>
      </w:r>
      <w:r>
        <w:rPr>
          <w:rFonts w:ascii="Arial" w:hAnsi="Arial" w:cs="Arial"/>
          <w:noProof/>
        </w:rPr>
        <w:tab/>
        <w:t xml:space="preserve"> </w:t>
      </w:r>
      <w:r>
        <w:rPr>
          <w:rFonts w:ascii="Arial" w:hAnsi="Arial" w:cs="Arial"/>
          <w:noProof/>
          <w:lang w:eastAsia="en-GB"/>
        </w:rPr>
        <w:drawing>
          <wp:inline distT="0" distB="0" distL="0" distR="0" wp14:anchorId="367007B5" wp14:editId="6FE054E6">
            <wp:extent cx="1127760" cy="554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7760" cy="554990"/>
                    </a:xfrm>
                    <a:prstGeom prst="rect">
                      <a:avLst/>
                    </a:prstGeom>
                    <a:noFill/>
                  </pic:spPr>
                </pic:pic>
              </a:graphicData>
            </a:graphic>
          </wp:inline>
        </w:drawing>
      </w:r>
    </w:p>
    <w:p w14:paraId="055D1147" w14:textId="77777777" w:rsidR="0097722A" w:rsidRDefault="0097722A" w:rsidP="00B114D4">
      <w:pPr>
        <w:pStyle w:val="NoSpacing"/>
        <w:rPr>
          <w:rFonts w:ascii="Arial" w:hAnsi="Arial" w:cs="Arial"/>
        </w:rPr>
      </w:pPr>
    </w:p>
    <w:p w14:paraId="02F02A31" w14:textId="77777777" w:rsidR="0097722A" w:rsidRDefault="0097722A" w:rsidP="00B114D4">
      <w:pPr>
        <w:pStyle w:val="NoSpacing"/>
        <w:rPr>
          <w:rFonts w:ascii="Arial" w:hAnsi="Arial" w:cs="Arial"/>
        </w:rPr>
      </w:pPr>
    </w:p>
    <w:p w14:paraId="30B3F5A3" w14:textId="3914070F" w:rsidR="00C41E12" w:rsidRDefault="00C41E12" w:rsidP="00B114D4">
      <w:pPr>
        <w:pStyle w:val="NoSpacing"/>
        <w:rPr>
          <w:rFonts w:ascii="Arial" w:hAnsi="Arial" w:cs="Arial"/>
        </w:rPr>
      </w:pPr>
      <w:r w:rsidRPr="003B5D6D">
        <w:rPr>
          <w:rFonts w:ascii="Arial" w:hAnsi="Arial" w:cs="Arial"/>
        </w:rPr>
        <w:t>Law Society</w:t>
      </w:r>
      <w:r w:rsidR="00CF3B20">
        <w:rPr>
          <w:rFonts w:ascii="Arial" w:hAnsi="Arial" w:cs="Arial"/>
        </w:rPr>
        <w:t>:</w:t>
      </w:r>
      <w:r w:rsidRPr="003B5D6D">
        <w:rPr>
          <w:rFonts w:ascii="Arial" w:hAnsi="Arial" w:cs="Arial"/>
        </w:rPr>
        <w:t xml:space="preserve"> </w:t>
      </w:r>
      <w:r w:rsidR="00135376">
        <w:rPr>
          <w:rFonts w:ascii="Arial" w:hAnsi="Arial" w:cs="Arial"/>
        </w:rPr>
        <w:tab/>
      </w:r>
      <w:r w:rsidR="00135376">
        <w:rPr>
          <w:rFonts w:ascii="Arial" w:hAnsi="Arial" w:cs="Arial"/>
        </w:rPr>
        <w:tab/>
      </w:r>
      <w:r w:rsidR="00135376">
        <w:rPr>
          <w:rFonts w:ascii="Arial" w:hAnsi="Arial" w:cs="Arial"/>
        </w:rPr>
        <w:tab/>
      </w:r>
      <w:r w:rsidR="00454EE1">
        <w:rPr>
          <w:rFonts w:ascii="Arial" w:hAnsi="Arial" w:cs="Arial"/>
        </w:rPr>
        <w:t xml:space="preserve">            </w:t>
      </w:r>
      <w:r w:rsidR="00135376">
        <w:rPr>
          <w:rFonts w:ascii="Arial" w:hAnsi="Arial" w:cs="Arial"/>
        </w:rPr>
        <w:t>Richard Atkinson</w:t>
      </w:r>
      <w:r w:rsidR="00567683">
        <w:rPr>
          <w:rFonts w:ascii="Arial" w:hAnsi="Arial" w:cs="Arial"/>
        </w:rPr>
        <w:t xml:space="preserve">    </w:t>
      </w:r>
      <w:r w:rsidR="00803A03">
        <w:rPr>
          <w:rFonts w:ascii="Arial" w:hAnsi="Arial" w:cs="Arial"/>
        </w:rPr>
        <w:t xml:space="preserve">&amp; </w:t>
      </w:r>
      <w:r w:rsidR="002213FE">
        <w:rPr>
          <w:rFonts w:ascii="Arial" w:hAnsi="Arial" w:cs="Arial"/>
        </w:rPr>
        <w:t xml:space="preserve">   </w:t>
      </w:r>
      <w:r w:rsidR="00CF7BFC">
        <w:rPr>
          <w:rFonts w:ascii="Arial" w:hAnsi="Arial" w:cs="Arial"/>
        </w:rPr>
        <w:t>Ian Kelcey</w:t>
      </w:r>
    </w:p>
    <w:p w14:paraId="54A5D7F9" w14:textId="5705D0A8" w:rsidR="00135376" w:rsidRDefault="00135376" w:rsidP="00B114D4">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Co-Chair</w:t>
      </w:r>
      <w:r w:rsidR="00CF7BFC">
        <w:rPr>
          <w:rFonts w:ascii="Arial" w:hAnsi="Arial" w:cs="Arial"/>
        </w:rPr>
        <w:t>s Criminal Law Committee</w:t>
      </w:r>
      <w:r>
        <w:rPr>
          <w:rFonts w:ascii="Arial" w:hAnsi="Arial" w:cs="Arial"/>
        </w:rPr>
        <w:t xml:space="preserve"> </w:t>
      </w:r>
    </w:p>
    <w:p w14:paraId="27C07E95" w14:textId="1EC4CF68" w:rsidR="00135376" w:rsidRDefault="00135376" w:rsidP="00B114D4">
      <w:pPr>
        <w:pStyle w:val="NoSpacing"/>
        <w:rPr>
          <w:rFonts w:ascii="Arial" w:hAnsi="Arial" w:cs="Arial"/>
        </w:rPr>
      </w:pPr>
    </w:p>
    <w:p w14:paraId="7F5581E0" w14:textId="3098DFB9" w:rsidR="00135376" w:rsidRDefault="00CF7BFC" w:rsidP="00803A03">
      <w:pPr>
        <w:pStyle w:val="NoSpacing"/>
        <w:ind w:left="2880" w:firstLine="720"/>
        <w:rPr>
          <w:rFonts w:ascii="Arial" w:hAnsi="Arial" w:cs="Arial"/>
        </w:rPr>
      </w:pPr>
      <w:r>
        <w:rPr>
          <w:rFonts w:ascii="Arial" w:hAnsi="Arial" w:cs="Arial"/>
          <w:noProof/>
        </w:rPr>
        <w:t xml:space="preserve">                          </w:t>
      </w:r>
    </w:p>
    <w:p w14:paraId="4768BC58" w14:textId="71CF4CAE" w:rsidR="00135376" w:rsidRPr="00135376" w:rsidRDefault="00135376" w:rsidP="00B114D4">
      <w:pPr>
        <w:pStyle w:val="NoSpacing"/>
        <w:rPr>
          <w:rFonts w:ascii="Arial" w:hAnsi="Arial" w:cs="Arial"/>
          <w:b/>
          <w:sz w:val="24"/>
          <w:szCs w:val="24"/>
        </w:rPr>
      </w:pPr>
      <w:r w:rsidRPr="00135376">
        <w:rPr>
          <w:rFonts w:ascii="Arial" w:hAnsi="Arial" w:cs="Arial"/>
          <w:b/>
          <w:sz w:val="24"/>
          <w:szCs w:val="24"/>
        </w:rPr>
        <w:t xml:space="preserve">Approval </w:t>
      </w:r>
      <w:r w:rsidR="0066612B">
        <w:rPr>
          <w:rFonts w:ascii="Arial" w:hAnsi="Arial" w:cs="Arial"/>
          <w:b/>
          <w:sz w:val="24"/>
          <w:szCs w:val="24"/>
        </w:rPr>
        <w:t>b</w:t>
      </w:r>
      <w:r w:rsidR="002F744A">
        <w:rPr>
          <w:rFonts w:ascii="Arial" w:hAnsi="Arial" w:cs="Arial"/>
          <w:b/>
          <w:sz w:val="24"/>
          <w:szCs w:val="24"/>
        </w:rPr>
        <w:t>y</w:t>
      </w:r>
    </w:p>
    <w:p w14:paraId="53AD7F09" w14:textId="41EF65D8" w:rsidR="00135376" w:rsidRDefault="00135376" w:rsidP="00B114D4">
      <w:pPr>
        <w:pStyle w:val="NoSpacing"/>
        <w:rPr>
          <w:rFonts w:ascii="Arial" w:hAnsi="Arial" w:cs="Arial"/>
        </w:rPr>
      </w:pPr>
    </w:p>
    <w:p w14:paraId="1822E6B0" w14:textId="02EB0C72" w:rsidR="00135376" w:rsidRPr="003B5D6D" w:rsidRDefault="0066612B" w:rsidP="00B114D4">
      <w:pPr>
        <w:pStyle w:val="NoSpacing"/>
        <w:rPr>
          <w:rFonts w:ascii="Arial" w:hAnsi="Arial" w:cs="Arial"/>
        </w:rPr>
      </w:pPr>
      <w:r>
        <w:rPr>
          <w:rFonts w:ascii="Arial" w:hAnsi="Arial" w:cs="Arial"/>
        </w:rPr>
        <w:t xml:space="preserve">Senior Presiding Judge of England and Wales </w:t>
      </w:r>
    </w:p>
    <w:p w14:paraId="30CA83ED" w14:textId="77777777" w:rsidR="00B114D4" w:rsidRPr="003B5D6D" w:rsidRDefault="00B114D4" w:rsidP="00B114D4">
      <w:pPr>
        <w:pStyle w:val="NoSpacing"/>
        <w:rPr>
          <w:rFonts w:ascii="Arial" w:hAnsi="Arial" w:cs="Arial"/>
          <w:b/>
        </w:rPr>
      </w:pPr>
    </w:p>
    <w:p w14:paraId="6A75A7BB" w14:textId="7AC7CEEA" w:rsidR="00291C5E" w:rsidRPr="003B5D6D" w:rsidRDefault="00D4201A" w:rsidP="00B114D4">
      <w:pPr>
        <w:pStyle w:val="NoSpacing"/>
        <w:rPr>
          <w:rFonts w:ascii="Arial" w:hAnsi="Arial" w:cs="Arial"/>
          <w:b/>
          <w:sz w:val="32"/>
          <w:szCs w:val="32"/>
        </w:rPr>
      </w:pPr>
      <w:r w:rsidRPr="003B5D6D">
        <w:rPr>
          <w:rFonts w:ascii="Arial" w:hAnsi="Arial" w:cs="Arial"/>
          <w:b/>
          <w:sz w:val="24"/>
          <w:szCs w:val="24"/>
        </w:rPr>
        <w:t xml:space="preserve"> </w:t>
      </w:r>
    </w:p>
    <w:p w14:paraId="7603580F" w14:textId="2232AB65" w:rsidR="00F07402" w:rsidRPr="003B5D6D" w:rsidRDefault="002F744A" w:rsidP="002F744A">
      <w:pPr>
        <w:pStyle w:val="NoSpacing"/>
        <w:rPr>
          <w:rFonts w:ascii="Arial" w:hAnsi="Arial" w:cs="Arial"/>
        </w:rPr>
      </w:pPr>
      <w:r>
        <w:rPr>
          <w:rFonts w:ascii="Arial" w:hAnsi="Arial" w:cs="Arial"/>
        </w:rPr>
        <w:t>1</w:t>
      </w:r>
      <w:r w:rsidRPr="002F744A">
        <w:rPr>
          <w:rFonts w:ascii="Arial" w:hAnsi="Arial" w:cs="Arial"/>
          <w:vertAlign w:val="superscript"/>
        </w:rPr>
        <w:t>st</w:t>
      </w:r>
      <w:r>
        <w:rPr>
          <w:rFonts w:ascii="Arial" w:hAnsi="Arial" w:cs="Arial"/>
        </w:rPr>
        <w:t xml:space="preserve"> October 2020</w:t>
      </w:r>
    </w:p>
    <w:p w14:paraId="3BFD5A07" w14:textId="77777777" w:rsidR="002213FE" w:rsidRDefault="002213FE" w:rsidP="00A923EB">
      <w:pPr>
        <w:pStyle w:val="NoSpacing"/>
        <w:rPr>
          <w:rFonts w:ascii="Arial" w:hAnsi="Arial" w:cs="Arial"/>
        </w:rPr>
      </w:pPr>
    </w:p>
    <w:p w14:paraId="3D4F22CD" w14:textId="77777777" w:rsidR="005E334E" w:rsidRDefault="005E334E" w:rsidP="00A923EB">
      <w:pPr>
        <w:pStyle w:val="NoSpacing"/>
        <w:rPr>
          <w:rFonts w:ascii="Arial" w:hAnsi="Arial" w:cs="Arial"/>
        </w:rPr>
      </w:pPr>
    </w:p>
    <w:p w14:paraId="5F41C5D2" w14:textId="77777777" w:rsidR="005E334E" w:rsidRDefault="005E334E" w:rsidP="00A923EB">
      <w:pPr>
        <w:pStyle w:val="NoSpacing"/>
        <w:rPr>
          <w:rFonts w:ascii="Arial" w:hAnsi="Arial" w:cs="Arial"/>
        </w:rPr>
      </w:pPr>
    </w:p>
    <w:p w14:paraId="61E240DE" w14:textId="77777777" w:rsidR="005E334E" w:rsidRDefault="005E334E" w:rsidP="00A923EB">
      <w:pPr>
        <w:pStyle w:val="NoSpacing"/>
        <w:rPr>
          <w:rFonts w:ascii="Arial" w:hAnsi="Arial" w:cs="Arial"/>
        </w:rPr>
      </w:pPr>
    </w:p>
    <w:p w14:paraId="78132940" w14:textId="77777777" w:rsidR="005E334E" w:rsidRDefault="005E334E" w:rsidP="00A923EB">
      <w:pPr>
        <w:pStyle w:val="NoSpacing"/>
        <w:rPr>
          <w:rFonts w:ascii="Arial" w:hAnsi="Arial" w:cs="Arial"/>
        </w:rPr>
      </w:pPr>
    </w:p>
    <w:p w14:paraId="4F0A8B87" w14:textId="77777777" w:rsidR="005E334E" w:rsidRDefault="005E334E" w:rsidP="00A923EB">
      <w:pPr>
        <w:pStyle w:val="NoSpacing"/>
        <w:rPr>
          <w:rFonts w:ascii="Arial" w:hAnsi="Arial" w:cs="Arial"/>
        </w:rPr>
      </w:pPr>
    </w:p>
    <w:p w14:paraId="6B228181" w14:textId="77777777" w:rsidR="005E334E" w:rsidRDefault="005E334E" w:rsidP="00A923EB">
      <w:pPr>
        <w:pStyle w:val="NoSpacing"/>
        <w:rPr>
          <w:rFonts w:ascii="Arial" w:hAnsi="Arial" w:cs="Arial"/>
        </w:rPr>
      </w:pPr>
    </w:p>
    <w:p w14:paraId="1833AE56" w14:textId="77777777" w:rsidR="005E334E" w:rsidRDefault="005E334E" w:rsidP="00A923EB">
      <w:pPr>
        <w:pStyle w:val="NoSpacing"/>
        <w:rPr>
          <w:rFonts w:ascii="Arial" w:hAnsi="Arial" w:cs="Arial"/>
        </w:rPr>
      </w:pPr>
    </w:p>
    <w:p w14:paraId="3D4AF7C7" w14:textId="77777777" w:rsidR="005E334E" w:rsidRDefault="005E334E" w:rsidP="00A923EB">
      <w:pPr>
        <w:pStyle w:val="NoSpacing"/>
        <w:rPr>
          <w:rFonts w:ascii="Arial" w:hAnsi="Arial" w:cs="Arial"/>
        </w:rPr>
      </w:pPr>
    </w:p>
    <w:p w14:paraId="223345B0" w14:textId="1C9878F1" w:rsidR="00F53A64" w:rsidRDefault="00F53A64">
      <w:pPr>
        <w:pStyle w:val="NoSpacing"/>
        <w:rPr>
          <w:rFonts w:ascii="Arial" w:hAnsi="Arial" w:cs="Arial"/>
        </w:rPr>
      </w:pPr>
    </w:p>
    <w:p w14:paraId="20646A74" w14:textId="4754A0C2" w:rsidR="001747A3" w:rsidRDefault="001747A3">
      <w:pPr>
        <w:pStyle w:val="NoSpacing"/>
        <w:rPr>
          <w:rFonts w:ascii="Arial" w:hAnsi="Arial" w:cs="Arial"/>
        </w:rPr>
      </w:pPr>
    </w:p>
    <w:p w14:paraId="14A80A4C" w14:textId="0D9FB498" w:rsidR="001747A3" w:rsidRDefault="001747A3">
      <w:pPr>
        <w:pStyle w:val="NoSpacing"/>
        <w:rPr>
          <w:rFonts w:ascii="Arial" w:hAnsi="Arial" w:cs="Arial"/>
        </w:rPr>
      </w:pPr>
    </w:p>
    <w:p w14:paraId="42DFDA6C" w14:textId="20CB4BB6" w:rsidR="001747A3" w:rsidRDefault="001747A3">
      <w:pPr>
        <w:pStyle w:val="NoSpacing"/>
        <w:rPr>
          <w:rFonts w:ascii="Arial" w:hAnsi="Arial" w:cs="Arial"/>
        </w:rPr>
      </w:pPr>
    </w:p>
    <w:p w14:paraId="32243CDD" w14:textId="333FC985" w:rsidR="001747A3" w:rsidRDefault="001747A3">
      <w:pPr>
        <w:pStyle w:val="NoSpacing"/>
        <w:rPr>
          <w:rFonts w:ascii="Arial" w:hAnsi="Arial" w:cs="Arial"/>
        </w:rPr>
      </w:pPr>
    </w:p>
    <w:p w14:paraId="3122C7FD" w14:textId="1E5EF221" w:rsidR="001747A3" w:rsidRDefault="001747A3">
      <w:pPr>
        <w:pStyle w:val="NoSpacing"/>
        <w:rPr>
          <w:rFonts w:ascii="Arial" w:hAnsi="Arial" w:cs="Arial"/>
        </w:rPr>
      </w:pPr>
    </w:p>
    <w:p w14:paraId="3B7B9ED3" w14:textId="1088DF65" w:rsidR="001747A3" w:rsidRDefault="001747A3">
      <w:pPr>
        <w:pStyle w:val="NoSpacing"/>
        <w:rPr>
          <w:rFonts w:ascii="Arial" w:hAnsi="Arial" w:cs="Arial"/>
        </w:rPr>
      </w:pPr>
    </w:p>
    <w:p w14:paraId="6DEED7E4" w14:textId="7EDD3A7D" w:rsidR="001747A3" w:rsidRDefault="001747A3">
      <w:pPr>
        <w:pStyle w:val="NoSpacing"/>
        <w:rPr>
          <w:rFonts w:ascii="Arial" w:hAnsi="Arial" w:cs="Arial"/>
        </w:rPr>
      </w:pPr>
    </w:p>
    <w:p w14:paraId="0819C693" w14:textId="5FE39DF0" w:rsidR="001747A3" w:rsidRDefault="001747A3">
      <w:pPr>
        <w:pStyle w:val="NoSpacing"/>
        <w:rPr>
          <w:rFonts w:ascii="Arial" w:hAnsi="Arial" w:cs="Arial"/>
        </w:rPr>
      </w:pPr>
    </w:p>
    <w:p w14:paraId="3A2EE44B" w14:textId="33F8DE80" w:rsidR="001747A3" w:rsidRDefault="001747A3">
      <w:pPr>
        <w:pStyle w:val="NoSpacing"/>
        <w:rPr>
          <w:rFonts w:ascii="Arial" w:hAnsi="Arial" w:cs="Arial"/>
        </w:rPr>
      </w:pPr>
    </w:p>
    <w:p w14:paraId="6D7C9263" w14:textId="5F08E184" w:rsidR="001747A3" w:rsidRDefault="001747A3">
      <w:pPr>
        <w:pStyle w:val="NoSpacing"/>
        <w:rPr>
          <w:rFonts w:ascii="Arial" w:hAnsi="Arial" w:cs="Arial"/>
        </w:rPr>
      </w:pPr>
    </w:p>
    <w:p w14:paraId="2AC2BAE3" w14:textId="0B8856B3" w:rsidR="001747A3" w:rsidRDefault="001747A3">
      <w:pPr>
        <w:pStyle w:val="NoSpacing"/>
        <w:rPr>
          <w:rFonts w:ascii="Arial" w:hAnsi="Arial" w:cs="Arial"/>
        </w:rPr>
      </w:pPr>
    </w:p>
    <w:p w14:paraId="0872D631" w14:textId="388FBC04" w:rsidR="001747A3" w:rsidRDefault="001747A3">
      <w:pPr>
        <w:pStyle w:val="NoSpacing"/>
        <w:rPr>
          <w:rFonts w:ascii="Arial" w:hAnsi="Arial" w:cs="Arial"/>
        </w:rPr>
      </w:pPr>
    </w:p>
    <w:p w14:paraId="37FD2E19" w14:textId="449A1C98" w:rsidR="001747A3" w:rsidRPr="007061C5" w:rsidRDefault="001747A3">
      <w:pPr>
        <w:pStyle w:val="NoSpacing"/>
        <w:rPr>
          <w:rFonts w:ascii="Arial" w:hAnsi="Arial" w:cs="Arial"/>
          <w:b/>
          <w:sz w:val="24"/>
          <w:szCs w:val="24"/>
        </w:rPr>
      </w:pPr>
      <w:r w:rsidRPr="007061C5">
        <w:rPr>
          <w:rFonts w:ascii="Arial" w:hAnsi="Arial" w:cs="Arial"/>
          <w:b/>
          <w:sz w:val="24"/>
          <w:szCs w:val="24"/>
        </w:rPr>
        <w:lastRenderedPageBreak/>
        <w:t>Annex A</w:t>
      </w:r>
    </w:p>
    <w:p w14:paraId="6747D034" w14:textId="490B44B0" w:rsidR="00743B94" w:rsidRDefault="00743B94">
      <w:pPr>
        <w:pStyle w:val="NoSpacing"/>
        <w:rPr>
          <w:rFonts w:ascii="Arial" w:hAnsi="Arial" w:cs="Arial"/>
          <w:b/>
        </w:rPr>
      </w:pPr>
    </w:p>
    <w:p w14:paraId="5CBF70DF" w14:textId="4564C9F6" w:rsidR="001747A3" w:rsidRDefault="001747A3" w:rsidP="001747A3">
      <w:pPr>
        <w:pStyle w:val="NoSpacing"/>
        <w:rPr>
          <w:rFonts w:ascii="Arial" w:hAnsi="Arial" w:cs="Arial"/>
          <w:b/>
          <w:sz w:val="28"/>
          <w:szCs w:val="28"/>
        </w:rPr>
      </w:pPr>
      <w:r>
        <w:rPr>
          <w:rFonts w:ascii="Arial" w:hAnsi="Arial" w:cs="Arial"/>
          <w:b/>
          <w:sz w:val="28"/>
          <w:szCs w:val="28"/>
        </w:rPr>
        <w:t>Process Before the Scheduled Hearing</w:t>
      </w:r>
    </w:p>
    <w:p w14:paraId="11AC165F" w14:textId="0E9CD42E" w:rsidR="00743B94" w:rsidRDefault="00743B94" w:rsidP="001747A3">
      <w:pPr>
        <w:pStyle w:val="NoSpacing"/>
        <w:rPr>
          <w:rFonts w:ascii="Arial" w:hAnsi="Arial" w:cs="Arial"/>
          <w:b/>
          <w:sz w:val="28"/>
          <w:szCs w:val="28"/>
        </w:rPr>
      </w:pPr>
    </w:p>
    <w:p w14:paraId="3184B1EB" w14:textId="7A56076D" w:rsidR="00F43B65" w:rsidRDefault="00F43B65" w:rsidP="001747A3">
      <w:pPr>
        <w:pStyle w:val="NoSpacing"/>
        <w:rPr>
          <w:rFonts w:ascii="Arial" w:hAnsi="Arial" w:cs="Arial"/>
          <w:b/>
          <w:sz w:val="28"/>
          <w:szCs w:val="28"/>
        </w:rPr>
      </w:pPr>
      <w:r>
        <w:object w:dxaOrig="1517" w:dyaOrig="988" w14:anchorId="5A2E9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9" o:title=""/>
          </v:shape>
          <o:OLEObject Type="Embed" ProgID="AcroExch.Document.DC" ShapeID="_x0000_i1025" DrawAspect="Icon" ObjectID="_1663415513" r:id="rId20"/>
        </w:object>
      </w:r>
    </w:p>
    <w:p w14:paraId="375A1479" w14:textId="77777777" w:rsidR="001747A3" w:rsidRDefault="001747A3" w:rsidP="001747A3">
      <w:pPr>
        <w:pStyle w:val="NoSpacing"/>
        <w:rPr>
          <w:rFonts w:ascii="Arial" w:hAnsi="Arial" w:cs="Arial"/>
          <w:b/>
          <w:sz w:val="24"/>
          <w:szCs w:val="24"/>
        </w:rPr>
      </w:pPr>
    </w:p>
    <w:p w14:paraId="15D02A4B" w14:textId="77777777" w:rsidR="001747A3" w:rsidRDefault="001747A3" w:rsidP="001747A3">
      <w:pPr>
        <w:pStyle w:val="NoSpacing"/>
        <w:rPr>
          <w:rFonts w:ascii="Arial" w:hAnsi="Arial" w:cs="Arial"/>
          <w:sz w:val="24"/>
          <w:szCs w:val="24"/>
        </w:rPr>
      </w:pPr>
      <w:r>
        <w:rPr>
          <w:rFonts w:ascii="Arial" w:hAnsi="Arial" w:cs="Arial"/>
          <w:b/>
          <w:sz w:val="24"/>
          <w:szCs w:val="24"/>
        </w:rPr>
        <w:t xml:space="preserve">The Defence Legal Representative </w:t>
      </w:r>
      <w:r>
        <w:rPr>
          <w:rFonts w:ascii="Arial" w:hAnsi="Arial" w:cs="Arial"/>
          <w:sz w:val="24"/>
          <w:szCs w:val="24"/>
        </w:rPr>
        <w:t>shall:</w:t>
      </w:r>
    </w:p>
    <w:p w14:paraId="6DF34BE5" w14:textId="77777777" w:rsidR="001747A3" w:rsidRDefault="001747A3" w:rsidP="001747A3">
      <w:pPr>
        <w:pStyle w:val="NoSpacing"/>
        <w:numPr>
          <w:ilvl w:val="1"/>
          <w:numId w:val="46"/>
        </w:numPr>
        <w:rPr>
          <w:rFonts w:ascii="Arial" w:hAnsi="Arial" w:cs="Arial"/>
        </w:rPr>
      </w:pPr>
      <w:r>
        <w:rPr>
          <w:rFonts w:ascii="Arial" w:hAnsi="Arial" w:cs="Arial"/>
        </w:rPr>
        <w:t xml:space="preserve">apply for the IDPC and receive instructions from the defendant on likely plea, as soon as is reasonably practicable.  </w:t>
      </w:r>
    </w:p>
    <w:p w14:paraId="29B3896D" w14:textId="77777777" w:rsidR="001747A3" w:rsidRDefault="001747A3" w:rsidP="001747A3">
      <w:pPr>
        <w:pStyle w:val="NoSpacing"/>
        <w:ind w:left="360"/>
        <w:rPr>
          <w:rFonts w:ascii="Arial" w:hAnsi="Arial" w:cs="Arial"/>
        </w:rPr>
      </w:pPr>
    </w:p>
    <w:p w14:paraId="67ABF08A" w14:textId="77777777" w:rsidR="001747A3" w:rsidRDefault="001747A3" w:rsidP="001747A3">
      <w:pPr>
        <w:pStyle w:val="NoSpacing"/>
        <w:numPr>
          <w:ilvl w:val="1"/>
          <w:numId w:val="46"/>
        </w:numPr>
        <w:rPr>
          <w:rFonts w:ascii="Arial" w:hAnsi="Arial" w:cs="Arial"/>
        </w:rPr>
      </w:pPr>
      <w:r>
        <w:rPr>
          <w:rFonts w:ascii="Arial" w:hAnsi="Arial" w:cs="Arial"/>
        </w:rPr>
        <w:t>Where</w:t>
      </w:r>
      <w:r>
        <w:t xml:space="preserve"> </w:t>
      </w:r>
      <w:r>
        <w:rPr>
          <w:rFonts w:ascii="Arial" w:hAnsi="Arial" w:cs="Arial"/>
        </w:rPr>
        <w:t>the plea is likely to be guilty confirm with the defendant whether the prosecution case is accepted in full.</w:t>
      </w:r>
    </w:p>
    <w:p w14:paraId="4A37C516" w14:textId="77777777" w:rsidR="001747A3" w:rsidRDefault="001747A3" w:rsidP="001747A3">
      <w:pPr>
        <w:pStyle w:val="NoSpacing"/>
        <w:ind w:left="360"/>
        <w:rPr>
          <w:rFonts w:ascii="Arial" w:hAnsi="Arial" w:cs="Arial"/>
        </w:rPr>
      </w:pPr>
      <w:r>
        <w:rPr>
          <w:rFonts w:ascii="Arial" w:hAnsi="Arial" w:cs="Arial"/>
        </w:rPr>
        <w:t xml:space="preserve"> </w:t>
      </w:r>
    </w:p>
    <w:p w14:paraId="5890A67F" w14:textId="77777777" w:rsidR="001747A3" w:rsidRDefault="001747A3" w:rsidP="001747A3">
      <w:pPr>
        <w:pStyle w:val="NoSpacing"/>
        <w:numPr>
          <w:ilvl w:val="1"/>
          <w:numId w:val="46"/>
        </w:numPr>
        <w:rPr>
          <w:rFonts w:ascii="Arial" w:hAnsi="Arial" w:cs="Arial"/>
        </w:rPr>
      </w:pPr>
      <w:r>
        <w:rPr>
          <w:rFonts w:ascii="Arial" w:hAnsi="Arial" w:cs="Arial"/>
        </w:rPr>
        <w:t>Where the prosecution case is accepted in full, consider whether</w:t>
      </w:r>
    </w:p>
    <w:p w14:paraId="4050373E" w14:textId="60E8F9CF" w:rsidR="001747A3" w:rsidRDefault="001747A3" w:rsidP="001747A3">
      <w:pPr>
        <w:pStyle w:val="ListParagraph"/>
        <w:numPr>
          <w:ilvl w:val="2"/>
          <w:numId w:val="46"/>
        </w:numPr>
        <w:spacing w:line="256" w:lineRule="auto"/>
        <w:rPr>
          <w:rFonts w:ascii="Arial" w:hAnsi="Arial" w:cs="Arial"/>
        </w:rPr>
      </w:pPr>
      <w:r>
        <w:rPr>
          <w:rFonts w:ascii="Arial" w:hAnsi="Arial" w:cs="Arial"/>
        </w:rPr>
        <w:t xml:space="preserve"> the offence on the full prosecution version is likely to pass the threshold for a community sentence;</w:t>
      </w:r>
    </w:p>
    <w:p w14:paraId="60642EF2" w14:textId="77777777" w:rsidR="001747A3" w:rsidRDefault="001747A3" w:rsidP="001747A3">
      <w:pPr>
        <w:pStyle w:val="NoSpacing"/>
        <w:numPr>
          <w:ilvl w:val="2"/>
          <w:numId w:val="46"/>
        </w:numPr>
        <w:rPr>
          <w:rFonts w:ascii="Arial" w:hAnsi="Arial" w:cs="Arial"/>
        </w:rPr>
      </w:pPr>
      <w:r>
        <w:rPr>
          <w:rFonts w:ascii="Arial" w:hAnsi="Arial" w:cs="Arial"/>
        </w:rPr>
        <w:t>a pre-sentence report is likely to be necessary and if so ask the defendant if they would agree to comply with a PSR Before Plea, were this to be arranged.</w:t>
      </w:r>
    </w:p>
    <w:p w14:paraId="7E69E98E" w14:textId="77777777" w:rsidR="001747A3" w:rsidRDefault="001747A3" w:rsidP="001747A3">
      <w:pPr>
        <w:pStyle w:val="NoSpacing"/>
        <w:ind w:left="360"/>
        <w:rPr>
          <w:rFonts w:ascii="Arial" w:hAnsi="Arial" w:cs="Arial"/>
        </w:rPr>
      </w:pPr>
    </w:p>
    <w:p w14:paraId="4031DF27" w14:textId="77777777" w:rsidR="001747A3" w:rsidRDefault="001747A3" w:rsidP="001747A3">
      <w:pPr>
        <w:pStyle w:val="ListParagraph"/>
        <w:numPr>
          <w:ilvl w:val="1"/>
          <w:numId w:val="46"/>
        </w:numPr>
        <w:spacing w:line="256" w:lineRule="auto"/>
        <w:rPr>
          <w:rFonts w:ascii="Arial" w:hAnsi="Arial" w:cs="Arial"/>
        </w:rPr>
      </w:pPr>
      <w:r>
        <w:rPr>
          <w:rFonts w:ascii="Arial" w:hAnsi="Arial" w:cs="Arial"/>
        </w:rPr>
        <w:t>Where the Defence Legal Representative is of the opinion to request a PSR before Plea, explain the PSR before Plea process to the defendant reminding them that arranging a PSR Before Plea provides no indication of any sentence and that</w:t>
      </w:r>
    </w:p>
    <w:p w14:paraId="544AAAAA" w14:textId="77777777" w:rsidR="001747A3" w:rsidRDefault="001747A3" w:rsidP="001747A3">
      <w:pPr>
        <w:pStyle w:val="ListParagraph"/>
        <w:rPr>
          <w:rFonts w:ascii="Arial" w:hAnsi="Arial" w:cs="Arial"/>
        </w:rPr>
      </w:pPr>
    </w:p>
    <w:p w14:paraId="4F82313F" w14:textId="77777777" w:rsidR="001747A3" w:rsidRDefault="001747A3" w:rsidP="001747A3">
      <w:pPr>
        <w:pStyle w:val="ListParagraph"/>
        <w:numPr>
          <w:ilvl w:val="2"/>
          <w:numId w:val="46"/>
        </w:numPr>
        <w:spacing w:line="256" w:lineRule="auto"/>
        <w:rPr>
          <w:rFonts w:ascii="Arial" w:hAnsi="Arial" w:cs="Arial"/>
        </w:rPr>
      </w:pPr>
      <w:r>
        <w:rPr>
          <w:rFonts w:ascii="Arial" w:hAnsi="Arial" w:cs="Arial"/>
        </w:rPr>
        <w:t>all sentencing options remain open including an immediate sentence of imprisonment,</w:t>
      </w:r>
    </w:p>
    <w:p w14:paraId="50A81088" w14:textId="77777777" w:rsidR="001747A3" w:rsidRDefault="001747A3" w:rsidP="001747A3">
      <w:pPr>
        <w:pStyle w:val="ListParagraph"/>
        <w:numPr>
          <w:ilvl w:val="2"/>
          <w:numId w:val="46"/>
        </w:numPr>
        <w:spacing w:line="256" w:lineRule="auto"/>
        <w:rPr>
          <w:rFonts w:ascii="Arial" w:hAnsi="Arial" w:cs="Arial"/>
        </w:rPr>
      </w:pPr>
      <w:r>
        <w:rPr>
          <w:rFonts w:ascii="Arial" w:hAnsi="Arial" w:cs="Arial"/>
        </w:rPr>
        <w:t>the court will decide whether to consider the PSR before Plea, if one is available,</w:t>
      </w:r>
    </w:p>
    <w:p w14:paraId="5A8F18A8" w14:textId="77777777" w:rsidR="001747A3" w:rsidRDefault="001747A3" w:rsidP="001747A3">
      <w:pPr>
        <w:pStyle w:val="ListParagraph"/>
        <w:numPr>
          <w:ilvl w:val="2"/>
          <w:numId w:val="46"/>
        </w:numPr>
        <w:spacing w:line="256" w:lineRule="auto"/>
        <w:rPr>
          <w:rFonts w:ascii="Arial" w:hAnsi="Arial" w:cs="Arial"/>
        </w:rPr>
      </w:pPr>
      <w:r>
        <w:rPr>
          <w:rFonts w:ascii="Arial" w:hAnsi="Arial" w:cs="Arial"/>
        </w:rPr>
        <w:t>the court may proceed to sentence without a pre-sentence report if the court considers it unnecessary.</w:t>
      </w:r>
    </w:p>
    <w:p w14:paraId="3EB1CA69" w14:textId="77777777" w:rsidR="001747A3" w:rsidRDefault="001747A3" w:rsidP="001747A3">
      <w:pPr>
        <w:pStyle w:val="ListParagraph"/>
        <w:ind w:left="360"/>
        <w:rPr>
          <w:rFonts w:ascii="Arial" w:hAnsi="Arial" w:cs="Arial"/>
        </w:rPr>
      </w:pPr>
    </w:p>
    <w:p w14:paraId="45AEEEC4" w14:textId="77777777" w:rsidR="001747A3" w:rsidRDefault="001747A3" w:rsidP="001747A3">
      <w:pPr>
        <w:pStyle w:val="ListParagraph"/>
        <w:numPr>
          <w:ilvl w:val="1"/>
          <w:numId w:val="46"/>
        </w:numPr>
        <w:spacing w:line="256" w:lineRule="auto"/>
        <w:rPr>
          <w:rFonts w:ascii="Arial" w:hAnsi="Arial" w:cs="Arial"/>
        </w:rPr>
      </w:pPr>
      <w:r>
        <w:rPr>
          <w:rFonts w:ascii="Arial" w:hAnsi="Arial" w:cs="Arial"/>
        </w:rPr>
        <w:t>Where the defendant agrees to the request for a PSR Before Plea complete the applicable form and send it electronically to the National Probation Service mailbox for the magistrates’ court</w:t>
      </w:r>
      <w:r>
        <w:rPr>
          <w:rFonts w:ascii="Arial" w:hAnsi="Arial" w:cs="Arial"/>
          <w:b/>
        </w:rPr>
        <w:t xml:space="preserve"> </w:t>
      </w:r>
      <w:r>
        <w:rPr>
          <w:rFonts w:ascii="Arial" w:hAnsi="Arial" w:cs="Arial"/>
        </w:rPr>
        <w:t xml:space="preserve">scheduled to hear the case, with an email including the URN and scheduled hearing date, entitled “PSR Before Plea”, by the very latest, 3 working days before the scheduled hearing, copying in the court and CPS. </w:t>
      </w:r>
    </w:p>
    <w:p w14:paraId="630AC020" w14:textId="77777777" w:rsidR="001747A3" w:rsidRDefault="001747A3" w:rsidP="001747A3">
      <w:pPr>
        <w:pStyle w:val="NoSpacing"/>
        <w:rPr>
          <w:rFonts w:ascii="Arial" w:hAnsi="Arial" w:cs="Arial"/>
          <w:b/>
          <w:sz w:val="24"/>
          <w:szCs w:val="24"/>
        </w:rPr>
      </w:pPr>
      <w:r>
        <w:rPr>
          <w:rFonts w:ascii="Arial" w:hAnsi="Arial" w:cs="Arial"/>
          <w:b/>
          <w:sz w:val="24"/>
          <w:szCs w:val="24"/>
        </w:rPr>
        <w:t xml:space="preserve">National Probation Service </w:t>
      </w:r>
      <w:r>
        <w:rPr>
          <w:rFonts w:ascii="Arial" w:hAnsi="Arial" w:cs="Arial"/>
          <w:sz w:val="24"/>
          <w:szCs w:val="24"/>
        </w:rPr>
        <w:t>shall</w:t>
      </w:r>
      <w:r>
        <w:rPr>
          <w:rFonts w:ascii="Arial" w:hAnsi="Arial" w:cs="Arial"/>
          <w:b/>
          <w:sz w:val="24"/>
          <w:szCs w:val="24"/>
        </w:rPr>
        <w:t>:</w:t>
      </w:r>
    </w:p>
    <w:p w14:paraId="2E796D2F" w14:textId="77777777" w:rsidR="001747A3" w:rsidRDefault="001747A3" w:rsidP="001747A3">
      <w:pPr>
        <w:pStyle w:val="NoSpacing"/>
        <w:rPr>
          <w:rFonts w:ascii="Arial" w:hAnsi="Arial" w:cs="Arial"/>
          <w:b/>
          <w:sz w:val="24"/>
          <w:szCs w:val="24"/>
        </w:rPr>
      </w:pPr>
    </w:p>
    <w:p w14:paraId="035E6A96" w14:textId="77777777" w:rsidR="001747A3" w:rsidRDefault="001747A3" w:rsidP="001747A3">
      <w:pPr>
        <w:pStyle w:val="ListParagraph"/>
        <w:numPr>
          <w:ilvl w:val="0"/>
          <w:numId w:val="47"/>
        </w:numPr>
        <w:spacing w:after="0" w:line="240" w:lineRule="auto"/>
        <w:rPr>
          <w:rFonts w:ascii="Arial" w:hAnsi="Arial" w:cs="Arial"/>
          <w:b/>
          <w:vanish/>
          <w:sz w:val="24"/>
          <w:szCs w:val="24"/>
        </w:rPr>
      </w:pPr>
    </w:p>
    <w:p w14:paraId="582BAD0B" w14:textId="77777777" w:rsidR="001747A3" w:rsidRDefault="001747A3" w:rsidP="001747A3">
      <w:pPr>
        <w:pStyle w:val="ListParagraph"/>
        <w:numPr>
          <w:ilvl w:val="1"/>
          <w:numId w:val="48"/>
        </w:numPr>
        <w:spacing w:line="256" w:lineRule="auto"/>
        <w:rPr>
          <w:rFonts w:ascii="Arial" w:hAnsi="Arial" w:cs="Arial"/>
        </w:rPr>
      </w:pPr>
      <w:r>
        <w:rPr>
          <w:rFonts w:ascii="Arial" w:hAnsi="Arial" w:cs="Arial"/>
        </w:rPr>
        <w:t>upon receiving an email entitled “PSR Before Plea” check without delay whether part 1 of the applicable form has been completed.</w:t>
      </w:r>
    </w:p>
    <w:p w14:paraId="1E9A73D0" w14:textId="77777777" w:rsidR="001747A3" w:rsidRDefault="001747A3" w:rsidP="001747A3">
      <w:pPr>
        <w:rPr>
          <w:rFonts w:ascii="Arial" w:hAnsi="Arial" w:cs="Arial"/>
          <w:b/>
        </w:rPr>
      </w:pPr>
      <w:r>
        <w:rPr>
          <w:rFonts w:ascii="Arial" w:hAnsi="Arial" w:cs="Arial"/>
          <w:b/>
        </w:rPr>
        <w:t xml:space="preserve">Incomplete Form </w:t>
      </w:r>
    </w:p>
    <w:p w14:paraId="2659ACDC" w14:textId="77777777" w:rsidR="001747A3" w:rsidRDefault="001747A3" w:rsidP="001747A3">
      <w:pPr>
        <w:pStyle w:val="ListParagraph"/>
        <w:numPr>
          <w:ilvl w:val="1"/>
          <w:numId w:val="48"/>
        </w:numPr>
        <w:spacing w:line="256" w:lineRule="auto"/>
        <w:rPr>
          <w:rFonts w:ascii="Arial" w:hAnsi="Arial" w:cs="Arial"/>
        </w:rPr>
      </w:pPr>
      <w:r>
        <w:rPr>
          <w:rFonts w:ascii="Arial" w:hAnsi="Arial" w:cs="Arial"/>
        </w:rPr>
        <w:t xml:space="preserve">Where the form is incomplete, </w:t>
      </w:r>
    </w:p>
    <w:p w14:paraId="59493389" w14:textId="77777777" w:rsidR="001747A3" w:rsidRDefault="001747A3" w:rsidP="001747A3">
      <w:pPr>
        <w:pStyle w:val="ListParagraph"/>
        <w:numPr>
          <w:ilvl w:val="2"/>
          <w:numId w:val="48"/>
        </w:numPr>
        <w:spacing w:line="256" w:lineRule="auto"/>
        <w:rPr>
          <w:rFonts w:ascii="Arial" w:hAnsi="Arial" w:cs="Arial"/>
        </w:rPr>
      </w:pPr>
      <w:r>
        <w:rPr>
          <w:rFonts w:ascii="Arial" w:hAnsi="Arial" w:cs="Arial"/>
        </w:rPr>
        <w:t>refuse the request for the PSR Before Plea</w:t>
      </w:r>
    </w:p>
    <w:p w14:paraId="684AF0C6" w14:textId="77777777" w:rsidR="001747A3" w:rsidRDefault="001747A3" w:rsidP="001747A3">
      <w:pPr>
        <w:pStyle w:val="ListParagraph"/>
        <w:numPr>
          <w:ilvl w:val="2"/>
          <w:numId w:val="48"/>
        </w:numPr>
        <w:spacing w:line="256" w:lineRule="auto"/>
        <w:rPr>
          <w:rFonts w:ascii="Arial" w:hAnsi="Arial" w:cs="Arial"/>
        </w:rPr>
      </w:pPr>
      <w:r>
        <w:rPr>
          <w:rFonts w:ascii="Arial" w:hAnsi="Arial" w:cs="Arial"/>
        </w:rPr>
        <w:t>complete part 2 of the form ticking “refused as form incomplete”</w:t>
      </w:r>
    </w:p>
    <w:p w14:paraId="1E03CC40" w14:textId="77777777" w:rsidR="001747A3" w:rsidRDefault="001747A3" w:rsidP="001747A3">
      <w:pPr>
        <w:pStyle w:val="ListParagraph"/>
        <w:numPr>
          <w:ilvl w:val="2"/>
          <w:numId w:val="48"/>
        </w:numPr>
        <w:spacing w:line="256" w:lineRule="auto"/>
        <w:rPr>
          <w:rFonts w:ascii="Arial" w:hAnsi="Arial" w:cs="Arial"/>
        </w:rPr>
      </w:pPr>
      <w:r>
        <w:rPr>
          <w:rFonts w:ascii="Arial" w:hAnsi="Arial" w:cs="Arial"/>
        </w:rPr>
        <w:t>return the form to the defence legal representative and court with an email including the URN and hearing date, entitled “PSR before Plea – refused – form incomplete”</w:t>
      </w:r>
    </w:p>
    <w:p w14:paraId="12BF7172" w14:textId="77777777" w:rsidR="001747A3" w:rsidRDefault="001747A3" w:rsidP="001747A3">
      <w:r>
        <w:rPr>
          <w:rFonts w:ascii="Arial" w:hAnsi="Arial" w:cs="Arial"/>
          <w:b/>
        </w:rPr>
        <w:lastRenderedPageBreak/>
        <w:t>Completed Form</w:t>
      </w:r>
      <w:r>
        <w:t xml:space="preserve"> </w:t>
      </w:r>
    </w:p>
    <w:p w14:paraId="556FCCBF" w14:textId="77777777" w:rsidR="001747A3" w:rsidRDefault="001747A3" w:rsidP="001747A3">
      <w:pPr>
        <w:pStyle w:val="ListParagraph"/>
        <w:numPr>
          <w:ilvl w:val="1"/>
          <w:numId w:val="48"/>
        </w:numPr>
        <w:spacing w:line="256" w:lineRule="auto"/>
        <w:rPr>
          <w:rFonts w:ascii="Arial" w:hAnsi="Arial" w:cs="Arial"/>
        </w:rPr>
      </w:pPr>
      <w:bookmarkStart w:id="2" w:name="_Hlk46917698"/>
      <w:r>
        <w:rPr>
          <w:rFonts w:ascii="Arial" w:hAnsi="Arial" w:cs="Arial"/>
        </w:rPr>
        <w:t xml:space="preserve">Where the applicable form has been properly completed </w:t>
      </w:r>
    </w:p>
    <w:p w14:paraId="3D0EAD47" w14:textId="77777777" w:rsidR="001747A3" w:rsidRDefault="001747A3" w:rsidP="001747A3">
      <w:pPr>
        <w:pStyle w:val="ListParagraph"/>
        <w:numPr>
          <w:ilvl w:val="2"/>
          <w:numId w:val="48"/>
        </w:numPr>
        <w:spacing w:line="256" w:lineRule="auto"/>
        <w:rPr>
          <w:rFonts w:ascii="Arial" w:hAnsi="Arial" w:cs="Arial"/>
        </w:rPr>
      </w:pPr>
      <w:r>
        <w:rPr>
          <w:rFonts w:ascii="Arial" w:hAnsi="Arial" w:cs="Arial"/>
        </w:rPr>
        <w:t>obtain the IDPC from Court Store</w:t>
      </w:r>
    </w:p>
    <w:p w14:paraId="771A5A3A" w14:textId="3E3216FC" w:rsidR="001747A3" w:rsidRDefault="001747A3" w:rsidP="001747A3">
      <w:pPr>
        <w:pStyle w:val="ListParagraph"/>
        <w:numPr>
          <w:ilvl w:val="2"/>
          <w:numId w:val="48"/>
        </w:numPr>
        <w:spacing w:line="256" w:lineRule="auto"/>
        <w:rPr>
          <w:rFonts w:ascii="Arial" w:hAnsi="Arial" w:cs="Arial"/>
        </w:rPr>
      </w:pPr>
      <w:r>
        <w:rPr>
          <w:rFonts w:ascii="Arial" w:hAnsi="Arial" w:cs="Arial"/>
        </w:rPr>
        <w:t>check whether any recent pre-sentence report exists</w:t>
      </w:r>
    </w:p>
    <w:p w14:paraId="49045051" w14:textId="0829B282" w:rsidR="001747A3" w:rsidRDefault="005F73F1" w:rsidP="005F73F1">
      <w:pPr>
        <w:pStyle w:val="ListParagraph"/>
        <w:numPr>
          <w:ilvl w:val="2"/>
          <w:numId w:val="48"/>
        </w:numPr>
        <w:spacing w:line="256" w:lineRule="auto"/>
        <w:rPr>
          <w:rFonts w:ascii="Arial" w:hAnsi="Arial" w:cs="Arial"/>
        </w:rPr>
      </w:pPr>
      <w:r w:rsidRPr="005F73F1">
        <w:rPr>
          <w:rFonts w:ascii="Arial" w:hAnsi="Arial" w:cs="Arial"/>
        </w:rPr>
        <w:t>consider whether to produce a PSR Before Plea.</w:t>
      </w:r>
      <w:bookmarkEnd w:id="2"/>
    </w:p>
    <w:p w14:paraId="42B1CC1D" w14:textId="77777777" w:rsidR="005F73F1" w:rsidRPr="005F73F1" w:rsidRDefault="005F73F1" w:rsidP="005F73F1">
      <w:pPr>
        <w:pStyle w:val="ListParagraph"/>
        <w:spacing w:line="256" w:lineRule="auto"/>
        <w:ind w:left="1712"/>
        <w:rPr>
          <w:rFonts w:ascii="Arial" w:hAnsi="Arial" w:cs="Arial"/>
        </w:rPr>
      </w:pPr>
    </w:p>
    <w:p w14:paraId="458A06F9" w14:textId="77777777" w:rsidR="001747A3" w:rsidRDefault="001747A3" w:rsidP="001747A3">
      <w:pPr>
        <w:pStyle w:val="ListParagraph"/>
        <w:numPr>
          <w:ilvl w:val="1"/>
          <w:numId w:val="48"/>
        </w:numPr>
        <w:spacing w:line="256" w:lineRule="auto"/>
        <w:rPr>
          <w:rFonts w:ascii="Arial" w:hAnsi="Arial" w:cs="Arial"/>
        </w:rPr>
      </w:pPr>
      <w:r>
        <w:rPr>
          <w:rFonts w:ascii="Arial" w:hAnsi="Arial" w:cs="Arial"/>
        </w:rPr>
        <w:t>In deciding whether to produce a PSR Before Plea consider:</w:t>
      </w:r>
    </w:p>
    <w:p w14:paraId="5B3A463D" w14:textId="77777777" w:rsidR="001747A3" w:rsidRDefault="001747A3" w:rsidP="001747A3">
      <w:pPr>
        <w:pStyle w:val="ListParagraph"/>
        <w:numPr>
          <w:ilvl w:val="2"/>
          <w:numId w:val="48"/>
        </w:numPr>
        <w:spacing w:line="256" w:lineRule="auto"/>
        <w:rPr>
          <w:rFonts w:ascii="Arial" w:hAnsi="Arial" w:cs="Arial"/>
        </w:rPr>
      </w:pPr>
      <w:bookmarkStart w:id="3" w:name="_Hlk46915224"/>
      <w:r>
        <w:rPr>
          <w:rFonts w:ascii="Arial" w:hAnsi="Arial" w:cs="Arial"/>
        </w:rPr>
        <w:t>whether the circumstances of the offence on the full prosecution version are likely to merit at least a community order, considering sentencing guidelines;</w:t>
      </w:r>
    </w:p>
    <w:p w14:paraId="65A56C72" w14:textId="77777777" w:rsidR="001747A3" w:rsidRDefault="001747A3" w:rsidP="001747A3">
      <w:pPr>
        <w:pStyle w:val="NoSpacing"/>
        <w:numPr>
          <w:ilvl w:val="2"/>
          <w:numId w:val="48"/>
        </w:numPr>
        <w:rPr>
          <w:rFonts w:ascii="Arial" w:hAnsi="Arial" w:cs="Arial"/>
        </w:rPr>
      </w:pPr>
      <w:r>
        <w:rPr>
          <w:rFonts w:ascii="Arial" w:hAnsi="Arial" w:cs="Arial"/>
        </w:rPr>
        <w:t xml:space="preserve">whether a pre-sentence report is likely to be deemed necessary by the court. This includes in particular where there are issues involving domestic abuse, caring responsibilities, safeguarding concerns, mental health, vulnerability, complexity, alcohol or drugs. </w:t>
      </w:r>
    </w:p>
    <w:bookmarkEnd w:id="3"/>
    <w:p w14:paraId="163E4CE6" w14:textId="77777777" w:rsidR="001747A3" w:rsidRDefault="001747A3" w:rsidP="001747A3">
      <w:pPr>
        <w:pStyle w:val="NoSpacing"/>
        <w:ind w:left="1146"/>
        <w:rPr>
          <w:rFonts w:ascii="Arial" w:hAnsi="Arial" w:cs="Arial"/>
        </w:rPr>
      </w:pPr>
    </w:p>
    <w:p w14:paraId="6F18D437" w14:textId="77777777" w:rsidR="001747A3" w:rsidRDefault="001747A3" w:rsidP="001747A3">
      <w:pPr>
        <w:pStyle w:val="NoSpacing"/>
        <w:numPr>
          <w:ilvl w:val="1"/>
          <w:numId w:val="48"/>
        </w:numPr>
        <w:rPr>
          <w:rFonts w:ascii="Arial" w:hAnsi="Arial" w:cs="Arial"/>
        </w:rPr>
      </w:pPr>
      <w:r>
        <w:rPr>
          <w:rFonts w:ascii="Arial" w:hAnsi="Arial" w:cs="Arial"/>
        </w:rPr>
        <w:t>Where a PSR Before Plea request is then refused</w:t>
      </w:r>
    </w:p>
    <w:p w14:paraId="269238D2" w14:textId="77777777" w:rsidR="001747A3" w:rsidRDefault="001747A3" w:rsidP="001747A3">
      <w:pPr>
        <w:pStyle w:val="NoSpacing"/>
        <w:numPr>
          <w:ilvl w:val="2"/>
          <w:numId w:val="48"/>
        </w:numPr>
        <w:rPr>
          <w:rFonts w:ascii="Arial" w:hAnsi="Arial" w:cs="Arial"/>
        </w:rPr>
      </w:pPr>
      <w:r>
        <w:rPr>
          <w:rFonts w:ascii="Arial" w:hAnsi="Arial" w:cs="Arial"/>
        </w:rPr>
        <w:t xml:space="preserve"> complete part 2 of the applicable form ticking “refused other reasons”</w:t>
      </w:r>
    </w:p>
    <w:p w14:paraId="529A8710" w14:textId="77777777" w:rsidR="001747A3" w:rsidRDefault="001747A3" w:rsidP="001747A3">
      <w:pPr>
        <w:pStyle w:val="NoSpacing"/>
        <w:numPr>
          <w:ilvl w:val="2"/>
          <w:numId w:val="48"/>
        </w:numPr>
        <w:rPr>
          <w:rFonts w:ascii="Arial" w:hAnsi="Arial" w:cs="Arial"/>
        </w:rPr>
      </w:pPr>
      <w:r>
        <w:rPr>
          <w:rFonts w:ascii="Arial" w:hAnsi="Arial" w:cs="Arial"/>
        </w:rPr>
        <w:t xml:space="preserve"> </w:t>
      </w:r>
      <w:bookmarkStart w:id="4" w:name="_Hlk39158367"/>
      <w:r>
        <w:rPr>
          <w:rFonts w:ascii="Arial" w:hAnsi="Arial" w:cs="Arial"/>
        </w:rPr>
        <w:t>return the completed applicable form to the defence legal representative, CPS and court with an email including the URN and scheduled hearing date, entitled “PSR Before Plea refused”.</w:t>
      </w:r>
    </w:p>
    <w:bookmarkEnd w:id="4"/>
    <w:p w14:paraId="0D3C4230" w14:textId="77777777" w:rsidR="001747A3" w:rsidRDefault="001747A3" w:rsidP="001747A3">
      <w:pPr>
        <w:pStyle w:val="NoSpacing"/>
        <w:ind w:left="1146"/>
        <w:rPr>
          <w:rFonts w:ascii="Arial" w:hAnsi="Arial" w:cs="Arial"/>
        </w:rPr>
      </w:pPr>
    </w:p>
    <w:p w14:paraId="5BC3E8F4" w14:textId="77777777" w:rsidR="001747A3" w:rsidRDefault="001747A3" w:rsidP="001747A3">
      <w:pPr>
        <w:pStyle w:val="NoSpacing"/>
        <w:numPr>
          <w:ilvl w:val="1"/>
          <w:numId w:val="48"/>
        </w:numPr>
        <w:rPr>
          <w:rFonts w:ascii="Arial" w:hAnsi="Arial" w:cs="Arial"/>
        </w:rPr>
      </w:pPr>
      <w:r>
        <w:rPr>
          <w:rFonts w:ascii="Arial" w:hAnsi="Arial" w:cs="Arial"/>
        </w:rPr>
        <w:t xml:space="preserve">Where a PSR Before Plea request is then granted  </w:t>
      </w:r>
    </w:p>
    <w:p w14:paraId="05CCB75B" w14:textId="77777777" w:rsidR="001747A3" w:rsidRDefault="001747A3" w:rsidP="001747A3">
      <w:pPr>
        <w:pStyle w:val="NoSpacing"/>
        <w:numPr>
          <w:ilvl w:val="2"/>
          <w:numId w:val="48"/>
        </w:numPr>
        <w:rPr>
          <w:rFonts w:ascii="Arial" w:hAnsi="Arial" w:cs="Arial"/>
        </w:rPr>
      </w:pPr>
      <w:r>
        <w:rPr>
          <w:rFonts w:ascii="Arial" w:hAnsi="Arial" w:cs="Arial"/>
        </w:rPr>
        <w:t>complete part 2 ticking “granted”;</w:t>
      </w:r>
    </w:p>
    <w:p w14:paraId="19A2C1F4" w14:textId="77777777" w:rsidR="001747A3" w:rsidRDefault="001747A3" w:rsidP="001747A3">
      <w:pPr>
        <w:pStyle w:val="NoSpacing"/>
        <w:numPr>
          <w:ilvl w:val="2"/>
          <w:numId w:val="48"/>
        </w:numPr>
        <w:rPr>
          <w:rFonts w:ascii="Arial" w:hAnsi="Arial" w:cs="Arial"/>
        </w:rPr>
      </w:pPr>
      <w:r>
        <w:rPr>
          <w:rFonts w:ascii="Arial" w:hAnsi="Arial" w:cs="Arial"/>
        </w:rPr>
        <w:t xml:space="preserve">return the completed applicable form to the defence legal representative, CPS and court with an email including the URN and hearing date, entitled “PSR Before Plea request granted”; </w:t>
      </w:r>
    </w:p>
    <w:p w14:paraId="13F76158" w14:textId="77777777" w:rsidR="001747A3" w:rsidRDefault="001747A3" w:rsidP="001747A3">
      <w:pPr>
        <w:pStyle w:val="NoSpacing"/>
        <w:numPr>
          <w:ilvl w:val="2"/>
          <w:numId w:val="48"/>
        </w:numPr>
        <w:rPr>
          <w:rFonts w:ascii="Arial" w:hAnsi="Arial" w:cs="Arial"/>
        </w:rPr>
      </w:pPr>
      <w:r>
        <w:rPr>
          <w:rFonts w:ascii="Arial" w:hAnsi="Arial" w:cs="Arial"/>
        </w:rPr>
        <w:t>proceed to produce the PSR Before Plea in the usual way and upload to Court Store before the hearing date.</w:t>
      </w:r>
    </w:p>
    <w:p w14:paraId="145E2D2F" w14:textId="77777777" w:rsidR="001747A3" w:rsidRDefault="001747A3" w:rsidP="001747A3">
      <w:pPr>
        <w:pStyle w:val="NoSpacing"/>
        <w:rPr>
          <w:rFonts w:ascii="Arial" w:hAnsi="Arial" w:cs="Arial"/>
        </w:rPr>
      </w:pPr>
    </w:p>
    <w:p w14:paraId="7BF83119" w14:textId="77777777" w:rsidR="001747A3" w:rsidRDefault="001747A3" w:rsidP="001747A3">
      <w:pPr>
        <w:pStyle w:val="NoSpacing"/>
        <w:rPr>
          <w:rFonts w:ascii="Arial" w:hAnsi="Arial" w:cs="Arial"/>
          <w:b/>
        </w:rPr>
      </w:pPr>
      <w:r>
        <w:rPr>
          <w:rFonts w:ascii="Arial" w:hAnsi="Arial" w:cs="Arial"/>
          <w:b/>
        </w:rPr>
        <w:t>Insufficient time to produce PSR</w:t>
      </w:r>
    </w:p>
    <w:p w14:paraId="7B8081CB" w14:textId="77777777" w:rsidR="001747A3" w:rsidRDefault="001747A3" w:rsidP="001747A3">
      <w:pPr>
        <w:pStyle w:val="NoSpacing"/>
        <w:rPr>
          <w:rFonts w:ascii="Arial" w:hAnsi="Arial" w:cs="Arial"/>
        </w:rPr>
      </w:pPr>
      <w:r>
        <w:rPr>
          <w:rFonts w:ascii="Arial" w:hAnsi="Arial" w:cs="Arial"/>
        </w:rPr>
        <w:t xml:space="preserve"> </w:t>
      </w:r>
    </w:p>
    <w:p w14:paraId="0C003060" w14:textId="77777777" w:rsidR="001747A3" w:rsidRDefault="001747A3" w:rsidP="001747A3">
      <w:pPr>
        <w:pStyle w:val="NoSpacing"/>
        <w:numPr>
          <w:ilvl w:val="1"/>
          <w:numId w:val="48"/>
        </w:numPr>
        <w:rPr>
          <w:rFonts w:ascii="Arial" w:hAnsi="Arial" w:cs="Arial"/>
        </w:rPr>
      </w:pPr>
      <w:r>
        <w:rPr>
          <w:rFonts w:ascii="Arial" w:hAnsi="Arial" w:cs="Arial"/>
        </w:rPr>
        <w:t>Where the National Probation Service would produce a PSR Before Plea, but there is insufficient time before the first hearing</w:t>
      </w:r>
    </w:p>
    <w:p w14:paraId="7E4C8E71" w14:textId="2CDFB29F" w:rsidR="001747A3" w:rsidRDefault="001747A3" w:rsidP="001747A3">
      <w:pPr>
        <w:pStyle w:val="NoSpacing"/>
        <w:numPr>
          <w:ilvl w:val="2"/>
          <w:numId w:val="48"/>
        </w:numPr>
        <w:rPr>
          <w:rFonts w:ascii="Arial" w:hAnsi="Arial" w:cs="Arial"/>
        </w:rPr>
      </w:pPr>
      <w:r>
        <w:rPr>
          <w:rFonts w:ascii="Arial" w:hAnsi="Arial" w:cs="Arial"/>
        </w:rPr>
        <w:t>complete part 2 of the form ticking “insufficient time”</w:t>
      </w:r>
    </w:p>
    <w:p w14:paraId="5A016E66" w14:textId="1CD43A02" w:rsidR="001747A3" w:rsidRDefault="001747A3" w:rsidP="001747A3">
      <w:pPr>
        <w:pStyle w:val="NoSpacing"/>
        <w:numPr>
          <w:ilvl w:val="2"/>
          <w:numId w:val="48"/>
        </w:numPr>
        <w:rPr>
          <w:rFonts w:ascii="Arial" w:hAnsi="Arial" w:cs="Arial"/>
        </w:rPr>
      </w:pPr>
      <w:r>
        <w:rPr>
          <w:rFonts w:ascii="Arial" w:hAnsi="Arial" w:cs="Arial"/>
        </w:rPr>
        <w:t xml:space="preserve">return the completed applicable form to the defence legal representative, CPS and court with an email including the URN and scheduled hearing date, entitled “PSR Before Plea – insufficient time”, confirming the timescale in which a PSR Before Plea could be produced and requesting the court to reschedule the hearing date to a date no earlier than that timescale can be met. </w:t>
      </w:r>
    </w:p>
    <w:p w14:paraId="1783E3CF" w14:textId="76FFBB4C" w:rsidR="001747A3" w:rsidRPr="00A540C1" w:rsidRDefault="00A540C1" w:rsidP="001747A3">
      <w:pPr>
        <w:pStyle w:val="ListParagraph"/>
        <w:numPr>
          <w:ilvl w:val="2"/>
          <w:numId w:val="48"/>
        </w:numPr>
        <w:rPr>
          <w:rFonts w:ascii="Arial" w:hAnsi="Arial" w:cs="Arial"/>
        </w:rPr>
      </w:pPr>
      <w:r w:rsidRPr="00A540C1">
        <w:rPr>
          <w:rFonts w:ascii="Arial" w:hAnsi="Arial" w:cs="Arial"/>
        </w:rPr>
        <w:t xml:space="preserve">proceed to produce the PSR Before Plea, upon being notified by the court that the hearing date has been varied to enable sufficient time to prepare the report.  </w:t>
      </w:r>
    </w:p>
    <w:p w14:paraId="39C748B4" w14:textId="77777777" w:rsidR="001747A3" w:rsidRDefault="001747A3" w:rsidP="001747A3">
      <w:pPr>
        <w:pStyle w:val="NoSpacing"/>
        <w:rPr>
          <w:vanish/>
        </w:rPr>
      </w:pPr>
    </w:p>
    <w:p w14:paraId="2D3CE653" w14:textId="77777777" w:rsidR="001747A3" w:rsidRDefault="001747A3" w:rsidP="001747A3">
      <w:pPr>
        <w:pStyle w:val="NoSpacing"/>
        <w:rPr>
          <w:rFonts w:ascii="Arial" w:hAnsi="Arial" w:cs="Arial"/>
        </w:rPr>
      </w:pPr>
      <w:r>
        <w:rPr>
          <w:rFonts w:ascii="Arial" w:hAnsi="Arial" w:cs="Arial"/>
          <w:b/>
          <w:sz w:val="24"/>
          <w:szCs w:val="24"/>
        </w:rPr>
        <w:t>The Magistrates’ court legal adviser</w:t>
      </w:r>
      <w:r>
        <w:rPr>
          <w:rFonts w:ascii="Arial" w:hAnsi="Arial" w:cs="Arial"/>
        </w:rPr>
        <w:t xml:space="preserve"> shall:</w:t>
      </w:r>
    </w:p>
    <w:p w14:paraId="145CDC31" w14:textId="77777777" w:rsidR="001747A3" w:rsidRDefault="001747A3" w:rsidP="001747A3">
      <w:pPr>
        <w:pStyle w:val="NoSpacing"/>
        <w:rPr>
          <w:rFonts w:ascii="Arial" w:hAnsi="Arial" w:cs="Arial"/>
        </w:rPr>
      </w:pPr>
    </w:p>
    <w:p w14:paraId="4977F5B4" w14:textId="77777777" w:rsidR="001747A3" w:rsidRDefault="001747A3" w:rsidP="001747A3">
      <w:pPr>
        <w:pStyle w:val="ListParagraph"/>
        <w:numPr>
          <w:ilvl w:val="0"/>
          <w:numId w:val="48"/>
        </w:numPr>
        <w:spacing w:after="0" w:line="240" w:lineRule="auto"/>
        <w:rPr>
          <w:rFonts w:ascii="Arial" w:hAnsi="Arial" w:cs="Arial"/>
          <w:vanish/>
        </w:rPr>
      </w:pPr>
    </w:p>
    <w:p w14:paraId="1A19D32F" w14:textId="77777777" w:rsidR="001747A3" w:rsidRDefault="001747A3" w:rsidP="001747A3">
      <w:pPr>
        <w:pStyle w:val="NoSpacing"/>
        <w:numPr>
          <w:ilvl w:val="1"/>
          <w:numId w:val="48"/>
        </w:numPr>
        <w:rPr>
          <w:rFonts w:ascii="Arial" w:hAnsi="Arial" w:cs="Arial"/>
        </w:rPr>
      </w:pPr>
      <w:r>
        <w:rPr>
          <w:rFonts w:ascii="Arial" w:hAnsi="Arial" w:cs="Arial"/>
        </w:rPr>
        <w:t>upon a request from NPS to re-schedule the first hearing to enable the PSR before Plea to be produced,</w:t>
      </w:r>
    </w:p>
    <w:p w14:paraId="6BC76EEA" w14:textId="77777777" w:rsidR="001747A3" w:rsidRDefault="001747A3" w:rsidP="001747A3">
      <w:pPr>
        <w:pStyle w:val="NoSpacing"/>
        <w:numPr>
          <w:ilvl w:val="2"/>
          <w:numId w:val="48"/>
        </w:numPr>
        <w:rPr>
          <w:rFonts w:ascii="Arial" w:hAnsi="Arial" w:cs="Arial"/>
        </w:rPr>
      </w:pPr>
      <w:r>
        <w:rPr>
          <w:rFonts w:ascii="Arial" w:hAnsi="Arial" w:cs="Arial"/>
        </w:rPr>
        <w:t>promptly consider the request;</w:t>
      </w:r>
    </w:p>
    <w:p w14:paraId="5CF6F3BA" w14:textId="77777777" w:rsidR="001747A3" w:rsidRDefault="001747A3" w:rsidP="001747A3">
      <w:pPr>
        <w:pStyle w:val="NoSpacing"/>
        <w:numPr>
          <w:ilvl w:val="2"/>
          <w:numId w:val="48"/>
        </w:numPr>
        <w:rPr>
          <w:rFonts w:ascii="Arial" w:hAnsi="Arial" w:cs="Arial"/>
        </w:rPr>
      </w:pPr>
      <w:r>
        <w:rPr>
          <w:rFonts w:ascii="Arial" w:hAnsi="Arial" w:cs="Arial"/>
        </w:rPr>
        <w:t>where the request is refused, promptly notify the defence legal representative, CPS and NPS of this;</w:t>
      </w:r>
    </w:p>
    <w:p w14:paraId="08F115FE" w14:textId="77777777" w:rsidR="001747A3" w:rsidRDefault="001747A3" w:rsidP="001747A3">
      <w:pPr>
        <w:pStyle w:val="NoSpacing"/>
        <w:numPr>
          <w:ilvl w:val="2"/>
          <w:numId w:val="48"/>
        </w:numPr>
        <w:rPr>
          <w:rFonts w:ascii="Arial" w:hAnsi="Arial" w:cs="Arial"/>
        </w:rPr>
      </w:pPr>
      <w:r>
        <w:rPr>
          <w:rFonts w:ascii="Arial" w:hAnsi="Arial" w:cs="Arial"/>
        </w:rPr>
        <w:t>where the request is granted, ensure in the normal manner that</w:t>
      </w:r>
    </w:p>
    <w:p w14:paraId="23E56893" w14:textId="77777777" w:rsidR="001747A3" w:rsidRDefault="001747A3" w:rsidP="001747A3">
      <w:pPr>
        <w:pStyle w:val="NoSpacing"/>
        <w:numPr>
          <w:ilvl w:val="3"/>
          <w:numId w:val="48"/>
        </w:numPr>
        <w:rPr>
          <w:rFonts w:ascii="Arial" w:hAnsi="Arial" w:cs="Arial"/>
        </w:rPr>
      </w:pPr>
      <w:r>
        <w:rPr>
          <w:rFonts w:ascii="Arial" w:hAnsi="Arial" w:cs="Arial"/>
        </w:rPr>
        <w:lastRenderedPageBreak/>
        <w:t>the defence legal representative, CPS and NPS are notified of the new hearing date;</w:t>
      </w:r>
    </w:p>
    <w:p w14:paraId="32E984D4" w14:textId="77777777" w:rsidR="001747A3" w:rsidRDefault="001747A3" w:rsidP="001747A3">
      <w:pPr>
        <w:pStyle w:val="NoSpacing"/>
        <w:numPr>
          <w:ilvl w:val="3"/>
          <w:numId w:val="48"/>
        </w:numPr>
        <w:rPr>
          <w:rFonts w:ascii="Arial" w:hAnsi="Arial" w:cs="Arial"/>
        </w:rPr>
      </w:pPr>
      <w:r>
        <w:rPr>
          <w:rFonts w:ascii="Arial" w:hAnsi="Arial" w:cs="Arial"/>
        </w:rPr>
        <w:t>the defendant is notified of the new hearing date;</w:t>
      </w:r>
    </w:p>
    <w:p w14:paraId="4399800C" w14:textId="77777777" w:rsidR="001747A3" w:rsidRDefault="001747A3" w:rsidP="001747A3">
      <w:pPr>
        <w:pStyle w:val="NoSpacing"/>
        <w:numPr>
          <w:ilvl w:val="3"/>
          <w:numId w:val="48"/>
        </w:numPr>
        <w:rPr>
          <w:rFonts w:ascii="Arial" w:hAnsi="Arial" w:cs="Arial"/>
        </w:rPr>
      </w:pPr>
      <w:r>
        <w:rPr>
          <w:rFonts w:ascii="Arial" w:hAnsi="Arial" w:cs="Arial"/>
        </w:rPr>
        <w:t>the defendant’s bail is extended where appropriate.</w:t>
      </w:r>
    </w:p>
    <w:p w14:paraId="72D22DB0" w14:textId="77777777" w:rsidR="001747A3" w:rsidRDefault="001747A3" w:rsidP="001747A3">
      <w:pPr>
        <w:pStyle w:val="NoSpacing"/>
        <w:rPr>
          <w:rFonts w:ascii="Arial" w:hAnsi="Arial" w:cs="Arial"/>
          <w:b/>
          <w:sz w:val="28"/>
          <w:szCs w:val="28"/>
        </w:rPr>
      </w:pPr>
    </w:p>
    <w:p w14:paraId="042FB745" w14:textId="77777777" w:rsidR="001747A3" w:rsidRDefault="001747A3" w:rsidP="001747A3">
      <w:pPr>
        <w:pStyle w:val="NoSpacing"/>
        <w:rPr>
          <w:rFonts w:ascii="Arial" w:hAnsi="Arial" w:cs="Arial"/>
          <w:b/>
          <w:sz w:val="28"/>
          <w:szCs w:val="28"/>
        </w:rPr>
      </w:pPr>
      <w:r>
        <w:rPr>
          <w:rFonts w:ascii="Arial" w:hAnsi="Arial" w:cs="Arial"/>
          <w:b/>
          <w:sz w:val="28"/>
          <w:szCs w:val="28"/>
        </w:rPr>
        <w:t xml:space="preserve">Process at the court hearing  </w:t>
      </w:r>
    </w:p>
    <w:p w14:paraId="35968F22" w14:textId="77777777" w:rsidR="001747A3" w:rsidRDefault="001747A3" w:rsidP="001747A3">
      <w:pPr>
        <w:pStyle w:val="NoSpacing"/>
        <w:rPr>
          <w:rFonts w:ascii="Arial" w:hAnsi="Arial" w:cs="Arial"/>
          <w:b/>
          <w:sz w:val="24"/>
          <w:szCs w:val="24"/>
        </w:rPr>
      </w:pPr>
    </w:p>
    <w:p w14:paraId="6BFDE69D" w14:textId="77777777" w:rsidR="001747A3" w:rsidRDefault="001747A3" w:rsidP="001747A3">
      <w:pPr>
        <w:pStyle w:val="NoSpacing"/>
        <w:rPr>
          <w:rFonts w:ascii="Arial" w:hAnsi="Arial" w:cs="Arial"/>
          <w:sz w:val="24"/>
          <w:szCs w:val="24"/>
        </w:rPr>
      </w:pPr>
      <w:r>
        <w:rPr>
          <w:rFonts w:ascii="Arial" w:hAnsi="Arial" w:cs="Arial"/>
          <w:b/>
          <w:sz w:val="24"/>
          <w:szCs w:val="24"/>
        </w:rPr>
        <w:t xml:space="preserve">Magistrates’ Court Legal Adviser/Court Associate </w:t>
      </w:r>
      <w:r>
        <w:rPr>
          <w:rFonts w:ascii="Arial" w:hAnsi="Arial" w:cs="Arial"/>
          <w:sz w:val="24"/>
          <w:szCs w:val="24"/>
        </w:rPr>
        <w:t>shall:</w:t>
      </w:r>
    </w:p>
    <w:p w14:paraId="0684F805" w14:textId="77777777" w:rsidR="001747A3" w:rsidRDefault="001747A3" w:rsidP="001747A3">
      <w:pPr>
        <w:pStyle w:val="NoSpacing"/>
        <w:rPr>
          <w:rFonts w:ascii="Arial" w:hAnsi="Arial" w:cs="Arial"/>
          <w:b/>
          <w:sz w:val="24"/>
          <w:szCs w:val="24"/>
        </w:rPr>
      </w:pPr>
    </w:p>
    <w:p w14:paraId="362B8958" w14:textId="77777777" w:rsidR="001747A3" w:rsidRDefault="001747A3" w:rsidP="001747A3">
      <w:pPr>
        <w:pStyle w:val="ListParagraph"/>
        <w:numPr>
          <w:ilvl w:val="0"/>
          <w:numId w:val="48"/>
        </w:numPr>
        <w:spacing w:line="256" w:lineRule="auto"/>
        <w:rPr>
          <w:rFonts w:ascii="Arial" w:hAnsi="Arial" w:cs="Arial"/>
          <w:vanish/>
        </w:rPr>
      </w:pPr>
    </w:p>
    <w:p w14:paraId="3F40D148" w14:textId="77777777" w:rsidR="001747A3" w:rsidRDefault="001747A3" w:rsidP="001747A3">
      <w:pPr>
        <w:pStyle w:val="ListParagraph"/>
        <w:numPr>
          <w:ilvl w:val="1"/>
          <w:numId w:val="48"/>
        </w:numPr>
        <w:spacing w:line="256" w:lineRule="auto"/>
        <w:rPr>
          <w:rFonts w:ascii="Arial" w:hAnsi="Arial" w:cs="Arial"/>
        </w:rPr>
      </w:pPr>
      <w:r>
        <w:rPr>
          <w:rFonts w:ascii="Arial" w:hAnsi="Arial" w:cs="Arial"/>
        </w:rPr>
        <w:t>Where a PSR Before Plea has been produced, confirm at the pre-court meeting with the defence legal representative where available, the guilty plea indication.</w:t>
      </w:r>
    </w:p>
    <w:p w14:paraId="34A9889B" w14:textId="77777777" w:rsidR="001747A3" w:rsidRDefault="001747A3" w:rsidP="001747A3">
      <w:pPr>
        <w:pStyle w:val="ListParagraph"/>
        <w:ind w:left="360"/>
        <w:rPr>
          <w:rFonts w:ascii="Arial" w:hAnsi="Arial" w:cs="Arial"/>
        </w:rPr>
      </w:pPr>
    </w:p>
    <w:p w14:paraId="66EA66CA" w14:textId="77777777" w:rsidR="001747A3" w:rsidRDefault="001747A3" w:rsidP="001747A3">
      <w:pPr>
        <w:pStyle w:val="ListParagraph"/>
        <w:numPr>
          <w:ilvl w:val="1"/>
          <w:numId w:val="48"/>
        </w:numPr>
        <w:spacing w:line="256" w:lineRule="auto"/>
        <w:rPr>
          <w:rFonts w:ascii="Arial" w:hAnsi="Arial" w:cs="Arial"/>
        </w:rPr>
      </w:pPr>
      <w:r>
        <w:rPr>
          <w:rFonts w:ascii="Arial" w:hAnsi="Arial" w:cs="Arial"/>
        </w:rPr>
        <w:t xml:space="preserve">Where a PSR Before Plea has been produced, highlight this to the district judge/magistrates’ hearing the case in the pre-court briefing. </w:t>
      </w:r>
    </w:p>
    <w:p w14:paraId="49765456" w14:textId="77777777" w:rsidR="001747A3" w:rsidRDefault="001747A3" w:rsidP="001747A3">
      <w:pPr>
        <w:pStyle w:val="NoSpacing"/>
        <w:rPr>
          <w:rFonts w:ascii="Arial" w:hAnsi="Arial" w:cs="Arial"/>
          <w:sz w:val="24"/>
          <w:szCs w:val="24"/>
        </w:rPr>
      </w:pPr>
      <w:r>
        <w:rPr>
          <w:rFonts w:ascii="Arial" w:hAnsi="Arial" w:cs="Arial"/>
          <w:b/>
          <w:sz w:val="24"/>
          <w:szCs w:val="24"/>
        </w:rPr>
        <w:t>The Court</w:t>
      </w:r>
      <w:r>
        <w:rPr>
          <w:rFonts w:ascii="Arial" w:hAnsi="Arial" w:cs="Arial"/>
          <w:sz w:val="24"/>
          <w:szCs w:val="24"/>
        </w:rPr>
        <w:t xml:space="preserve"> shall:</w:t>
      </w:r>
    </w:p>
    <w:p w14:paraId="5B8E31DF" w14:textId="77777777" w:rsidR="001747A3" w:rsidRDefault="001747A3" w:rsidP="001747A3">
      <w:pPr>
        <w:pStyle w:val="ListParagraph"/>
        <w:numPr>
          <w:ilvl w:val="0"/>
          <w:numId w:val="48"/>
        </w:numPr>
        <w:spacing w:line="256" w:lineRule="auto"/>
        <w:rPr>
          <w:rFonts w:ascii="Arial" w:hAnsi="Arial" w:cs="Arial"/>
          <w:vanish/>
        </w:rPr>
      </w:pPr>
    </w:p>
    <w:p w14:paraId="791C0E8D" w14:textId="77777777" w:rsidR="001747A3" w:rsidRDefault="001747A3" w:rsidP="001747A3">
      <w:pPr>
        <w:pStyle w:val="ListParagraph"/>
        <w:numPr>
          <w:ilvl w:val="1"/>
          <w:numId w:val="48"/>
        </w:numPr>
        <w:spacing w:line="256" w:lineRule="auto"/>
        <w:rPr>
          <w:rFonts w:ascii="Arial" w:hAnsi="Arial" w:cs="Arial"/>
        </w:rPr>
      </w:pPr>
      <w:r>
        <w:rPr>
          <w:rFonts w:ascii="Arial" w:hAnsi="Arial" w:cs="Arial"/>
        </w:rPr>
        <w:t>take the plea for a summary only offence</w:t>
      </w:r>
      <w:r>
        <w:rPr>
          <w:rStyle w:val="FootnoteReference"/>
          <w:rFonts w:ascii="Arial" w:hAnsi="Arial" w:cs="Arial"/>
        </w:rPr>
        <w:footnoteReference w:id="6"/>
      </w:r>
      <w:r>
        <w:rPr>
          <w:rFonts w:ascii="Arial" w:hAnsi="Arial" w:cs="Arial"/>
        </w:rPr>
        <w:t xml:space="preserve"> or proceed to indication of plea for a triable either way offence</w:t>
      </w:r>
      <w:r>
        <w:rPr>
          <w:rStyle w:val="FootnoteReference"/>
          <w:rFonts w:ascii="Arial" w:hAnsi="Arial" w:cs="Arial"/>
        </w:rPr>
        <w:footnoteReference w:id="7"/>
      </w:r>
      <w:r>
        <w:rPr>
          <w:rFonts w:ascii="Arial" w:hAnsi="Arial" w:cs="Arial"/>
        </w:rPr>
        <w:t>,</w:t>
      </w:r>
    </w:p>
    <w:p w14:paraId="44672F8F" w14:textId="77777777" w:rsidR="001747A3" w:rsidRDefault="001747A3" w:rsidP="001747A3">
      <w:pPr>
        <w:pStyle w:val="ListParagraph"/>
        <w:ind w:left="360"/>
        <w:rPr>
          <w:rFonts w:ascii="Arial" w:hAnsi="Arial" w:cs="Arial"/>
        </w:rPr>
      </w:pPr>
    </w:p>
    <w:p w14:paraId="45985000" w14:textId="77777777" w:rsidR="001747A3" w:rsidRDefault="001747A3" w:rsidP="001747A3">
      <w:pPr>
        <w:pStyle w:val="ListParagraph"/>
        <w:numPr>
          <w:ilvl w:val="1"/>
          <w:numId w:val="48"/>
        </w:numPr>
        <w:spacing w:line="256" w:lineRule="auto"/>
        <w:rPr>
          <w:rFonts w:ascii="Arial" w:hAnsi="Arial" w:cs="Arial"/>
        </w:rPr>
      </w:pPr>
      <w:r>
        <w:rPr>
          <w:rFonts w:ascii="Arial" w:hAnsi="Arial" w:cs="Arial"/>
        </w:rPr>
        <w:t>proceed to consider sentence in accordance with the Criminal Procedure Rules 2015 and the Criminal Practice Direction 2015,</w:t>
      </w:r>
    </w:p>
    <w:p w14:paraId="7F41DBAD" w14:textId="77777777" w:rsidR="001747A3" w:rsidRDefault="001747A3" w:rsidP="001747A3">
      <w:pPr>
        <w:pStyle w:val="ListParagraph"/>
        <w:ind w:left="360"/>
        <w:rPr>
          <w:rFonts w:ascii="Arial" w:hAnsi="Arial" w:cs="Arial"/>
        </w:rPr>
      </w:pPr>
    </w:p>
    <w:p w14:paraId="1C956739" w14:textId="77777777" w:rsidR="001747A3" w:rsidRDefault="001747A3" w:rsidP="001747A3">
      <w:pPr>
        <w:pStyle w:val="ListParagraph"/>
        <w:numPr>
          <w:ilvl w:val="1"/>
          <w:numId w:val="48"/>
        </w:numPr>
        <w:spacing w:line="256" w:lineRule="auto"/>
        <w:rPr>
          <w:rFonts w:ascii="Arial" w:hAnsi="Arial" w:cs="Arial"/>
        </w:rPr>
      </w:pPr>
      <w:r>
        <w:rPr>
          <w:rFonts w:ascii="Arial" w:hAnsi="Arial" w:cs="Arial"/>
        </w:rPr>
        <w:t xml:space="preserve">decide whether to “obtain and consider a pre-sentence report” prior to sentencing, by accessing the PSR Before Plea on Court Store.  </w:t>
      </w:r>
      <w:r>
        <w:rPr>
          <w:rFonts w:ascii="Arial" w:hAnsi="Arial" w:cs="Arial"/>
          <w:strike/>
        </w:rPr>
        <w:t xml:space="preserve"> </w:t>
      </w:r>
    </w:p>
    <w:p w14:paraId="55FEDF6A" w14:textId="77777777" w:rsidR="001747A3" w:rsidRPr="001747A3" w:rsidRDefault="001747A3">
      <w:pPr>
        <w:pStyle w:val="NoSpacing"/>
        <w:rPr>
          <w:b/>
        </w:rPr>
      </w:pPr>
    </w:p>
    <w:p w14:paraId="75979990" w14:textId="53EB23BF" w:rsidR="00F53A64" w:rsidRDefault="00F53A64">
      <w:pPr>
        <w:pStyle w:val="NoSpacing"/>
      </w:pPr>
    </w:p>
    <w:p w14:paraId="7EC728BB" w14:textId="77777777" w:rsidR="00F53A64" w:rsidRPr="003B5D6D" w:rsidRDefault="00F53A64">
      <w:pPr>
        <w:pStyle w:val="NoSpacing"/>
      </w:pPr>
    </w:p>
    <w:p w14:paraId="1EEB52C0" w14:textId="3741F557" w:rsidR="00556485" w:rsidRPr="00556485" w:rsidRDefault="002266F4" w:rsidP="002266F4">
      <w:pPr>
        <w:pStyle w:val="NoSpacing"/>
        <w:rPr>
          <w:rFonts w:ascii="Arial" w:hAnsi="Arial" w:cs="Arial"/>
          <w:b/>
          <w:sz w:val="24"/>
          <w:szCs w:val="24"/>
        </w:rPr>
      </w:pPr>
      <w:r w:rsidRPr="00556485">
        <w:rPr>
          <w:rFonts w:ascii="Arial" w:hAnsi="Arial" w:cs="Arial"/>
          <w:b/>
          <w:sz w:val="24"/>
          <w:szCs w:val="24"/>
        </w:rPr>
        <w:t xml:space="preserve">Annex B </w:t>
      </w:r>
    </w:p>
    <w:p w14:paraId="531066BB" w14:textId="77777777" w:rsidR="00556485" w:rsidRDefault="00556485" w:rsidP="002266F4">
      <w:pPr>
        <w:pStyle w:val="NoSpacing"/>
        <w:rPr>
          <w:rFonts w:ascii="Arial" w:hAnsi="Arial" w:cs="Arial"/>
        </w:rPr>
      </w:pPr>
    </w:p>
    <w:p w14:paraId="2527255D" w14:textId="3CD6FE6C" w:rsidR="002266F4" w:rsidRPr="003B5D6D" w:rsidRDefault="002266F4" w:rsidP="002266F4">
      <w:pPr>
        <w:pStyle w:val="NoSpacing"/>
        <w:rPr>
          <w:rFonts w:ascii="Arial" w:hAnsi="Arial" w:cs="Arial"/>
        </w:rPr>
      </w:pPr>
      <w:r w:rsidRPr="003B5D6D">
        <w:rPr>
          <w:rFonts w:ascii="Arial" w:hAnsi="Arial" w:cs="Arial"/>
        </w:rPr>
        <w:t xml:space="preserve">Pre-Sentence </w:t>
      </w:r>
      <w:r w:rsidR="00272570" w:rsidRPr="003B5D6D">
        <w:rPr>
          <w:rFonts w:ascii="Arial" w:hAnsi="Arial" w:cs="Arial"/>
        </w:rPr>
        <w:t>Before Plea Request</w:t>
      </w:r>
      <w:r w:rsidR="002B08E1" w:rsidRPr="003B5D6D">
        <w:rPr>
          <w:rFonts w:ascii="Arial" w:hAnsi="Arial" w:cs="Arial"/>
        </w:rPr>
        <w:t xml:space="preserve"> </w:t>
      </w:r>
      <w:r w:rsidRPr="003B5D6D">
        <w:rPr>
          <w:rFonts w:ascii="Arial" w:hAnsi="Arial" w:cs="Arial"/>
        </w:rPr>
        <w:t xml:space="preserve">Form </w:t>
      </w:r>
    </w:p>
    <w:bookmarkStart w:id="5" w:name="_MON_1663079288"/>
    <w:bookmarkEnd w:id="5"/>
    <w:p w14:paraId="7EC23604" w14:textId="5BFDC616" w:rsidR="002266F4" w:rsidRPr="00CB08EB" w:rsidRDefault="00651074">
      <w:pPr>
        <w:pStyle w:val="NoSpacing"/>
        <w:rPr>
          <w:rFonts w:ascii="Arial" w:hAnsi="Arial" w:cs="Arial"/>
          <w:sz w:val="32"/>
          <w:szCs w:val="32"/>
        </w:rPr>
      </w:pPr>
      <w:r>
        <w:object w:dxaOrig="1517" w:dyaOrig="988" w14:anchorId="36F47A1F">
          <v:shape id="_x0000_i1026" type="#_x0000_t75" style="width:78pt;height:48pt" o:ole="">
            <v:imagedata r:id="rId21" o:title=""/>
          </v:shape>
          <o:OLEObject Type="Embed" ProgID="Word.Document.8" ShapeID="_x0000_i1026" DrawAspect="Icon" ObjectID="_1663415514" r:id="rId22">
            <o:FieldCodes>\s</o:FieldCodes>
          </o:OLEObject>
        </w:object>
      </w:r>
    </w:p>
    <w:sectPr w:rsidR="002266F4" w:rsidRPr="00CB08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F11D2" w14:textId="77777777" w:rsidR="0001081E" w:rsidRDefault="0001081E" w:rsidP="00FD130E">
      <w:pPr>
        <w:spacing w:after="0" w:line="240" w:lineRule="auto"/>
      </w:pPr>
      <w:r>
        <w:separator/>
      </w:r>
    </w:p>
  </w:endnote>
  <w:endnote w:type="continuationSeparator" w:id="0">
    <w:p w14:paraId="7ECF94C1" w14:textId="77777777" w:rsidR="0001081E" w:rsidRDefault="0001081E" w:rsidP="00FD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FA5FD" w14:textId="77777777" w:rsidR="0001081E" w:rsidRDefault="0001081E" w:rsidP="00FD130E">
      <w:pPr>
        <w:spacing w:after="0" w:line="240" w:lineRule="auto"/>
      </w:pPr>
      <w:r>
        <w:separator/>
      </w:r>
    </w:p>
  </w:footnote>
  <w:footnote w:type="continuationSeparator" w:id="0">
    <w:p w14:paraId="2EFF59A1" w14:textId="77777777" w:rsidR="0001081E" w:rsidRDefault="0001081E" w:rsidP="00FD130E">
      <w:pPr>
        <w:spacing w:after="0" w:line="240" w:lineRule="auto"/>
      </w:pPr>
      <w:r>
        <w:continuationSeparator/>
      </w:r>
    </w:p>
  </w:footnote>
  <w:footnote w:id="1">
    <w:p w14:paraId="08F72F26" w14:textId="77777777" w:rsidR="00A23F30" w:rsidRDefault="00A23F30" w:rsidP="00A23F30">
      <w:pPr>
        <w:pStyle w:val="FootnoteText"/>
      </w:pPr>
      <w:r>
        <w:rPr>
          <w:rStyle w:val="FootnoteReference"/>
        </w:rPr>
        <w:footnoteRef/>
      </w:r>
      <w:r>
        <w:t xml:space="preserve"> </w:t>
      </w:r>
      <w:hyperlink r:id="rId1" w:history="1">
        <w:proofErr w:type="spellStart"/>
        <w:r w:rsidRPr="00D250B8">
          <w:rPr>
            <w:rStyle w:val="Hyperlink"/>
          </w:rPr>
          <w:t>CrimPR</w:t>
        </w:r>
        <w:proofErr w:type="spellEnd"/>
        <w:r w:rsidRPr="00D250B8">
          <w:rPr>
            <w:rStyle w:val="Hyperlink"/>
          </w:rPr>
          <w:t xml:space="preserve"> 3.3 (2)(a)</w:t>
        </w:r>
      </w:hyperlink>
    </w:p>
  </w:footnote>
  <w:footnote w:id="2">
    <w:p w14:paraId="10A02933" w14:textId="77777777" w:rsidR="00A23F30" w:rsidRDefault="00A23F30" w:rsidP="00A23F30">
      <w:pPr>
        <w:pStyle w:val="FootnoteText"/>
      </w:pPr>
      <w:r>
        <w:rPr>
          <w:rStyle w:val="FootnoteReference"/>
        </w:rPr>
        <w:footnoteRef/>
      </w:r>
      <w:r>
        <w:t xml:space="preserve"> </w:t>
      </w:r>
      <w:hyperlink r:id="rId2" w:history="1">
        <w:r w:rsidRPr="00D250B8">
          <w:rPr>
            <w:rStyle w:val="Hyperlink"/>
          </w:rPr>
          <w:t>Section 156(3) Criminal Justice Act 2003</w:t>
        </w:r>
      </w:hyperlink>
      <w:r>
        <w:t xml:space="preserve"> </w:t>
      </w:r>
    </w:p>
  </w:footnote>
  <w:footnote w:id="3">
    <w:p w14:paraId="19AFA5C4" w14:textId="77777777" w:rsidR="001747A3" w:rsidRDefault="001747A3" w:rsidP="001747A3">
      <w:pPr>
        <w:pStyle w:val="FootnoteText"/>
      </w:pPr>
      <w:r>
        <w:rPr>
          <w:rStyle w:val="FootnoteReference"/>
        </w:rPr>
        <w:footnoteRef/>
      </w:r>
      <w:r>
        <w:t xml:space="preserve"> </w:t>
      </w:r>
      <w:hyperlink r:id="rId3" w:history="1">
        <w:r w:rsidRPr="00D250B8">
          <w:rPr>
            <w:rStyle w:val="Hyperlink"/>
          </w:rPr>
          <w:t>Section 158 Criminal Justice Act 2003</w:t>
        </w:r>
      </w:hyperlink>
    </w:p>
  </w:footnote>
  <w:footnote w:id="4">
    <w:p w14:paraId="0277040F" w14:textId="77777777" w:rsidR="001747A3" w:rsidRDefault="001747A3" w:rsidP="001747A3">
      <w:pPr>
        <w:pStyle w:val="FootnoteText"/>
      </w:pPr>
      <w:r>
        <w:rPr>
          <w:rStyle w:val="FootnoteReference"/>
        </w:rPr>
        <w:footnoteRef/>
      </w:r>
      <w:r>
        <w:t xml:space="preserve"> </w:t>
      </w:r>
      <w:hyperlink r:id="rId4" w:history="1">
        <w:proofErr w:type="spellStart"/>
        <w:r w:rsidRPr="00D250B8">
          <w:rPr>
            <w:rStyle w:val="Hyperlink"/>
          </w:rPr>
          <w:t>CrimPR</w:t>
        </w:r>
        <w:proofErr w:type="spellEnd"/>
        <w:r w:rsidRPr="00D250B8">
          <w:rPr>
            <w:rStyle w:val="Hyperlink"/>
          </w:rPr>
          <w:t xml:space="preserve"> 24.7</w:t>
        </w:r>
      </w:hyperlink>
    </w:p>
  </w:footnote>
  <w:footnote w:id="5">
    <w:p w14:paraId="10FF5821" w14:textId="77777777" w:rsidR="00241D35" w:rsidRDefault="00241D35" w:rsidP="00D9710C">
      <w:pPr>
        <w:rPr>
          <w:rFonts w:ascii="Tahoma" w:hAnsi="Tahoma" w:cs="Tahoma"/>
        </w:rPr>
      </w:pPr>
      <w:r>
        <w:rPr>
          <w:rStyle w:val="FootnoteReference"/>
        </w:rPr>
        <w:footnoteRef/>
      </w:r>
      <w:r>
        <w:t xml:space="preserve"> </w:t>
      </w:r>
      <w:hyperlink r:id="rId5" w:history="1">
        <w:r>
          <w:rPr>
            <w:rStyle w:val="Hyperlink"/>
            <w:rFonts w:ascii="Tahoma" w:hAnsi="Tahoma" w:cs="Tahoma"/>
          </w:rPr>
          <w:t>https://www.judiciary.uk/publications/the-better-case-management-bcm-handbook/</w:t>
        </w:r>
      </w:hyperlink>
    </w:p>
    <w:p w14:paraId="2EE4A1D0" w14:textId="77777777" w:rsidR="00241D35" w:rsidRDefault="00241D35" w:rsidP="00D9710C">
      <w:pPr>
        <w:pStyle w:val="FootnoteText"/>
      </w:pPr>
    </w:p>
  </w:footnote>
  <w:footnote w:id="6">
    <w:p w14:paraId="2AA5B46C" w14:textId="77777777" w:rsidR="001747A3" w:rsidRDefault="001747A3" w:rsidP="001747A3">
      <w:pPr>
        <w:pStyle w:val="FootnoteText"/>
      </w:pPr>
      <w:r>
        <w:rPr>
          <w:rStyle w:val="FootnoteReference"/>
        </w:rPr>
        <w:footnoteRef/>
      </w:r>
      <w:r>
        <w:t xml:space="preserve"> </w:t>
      </w:r>
      <w:hyperlink r:id="rId6" w:history="1">
        <w:r>
          <w:rPr>
            <w:rStyle w:val="Hyperlink"/>
          </w:rPr>
          <w:t>Section 9(1) Magistrates’ Courts Act 1980</w:t>
        </w:r>
      </w:hyperlink>
    </w:p>
  </w:footnote>
  <w:footnote w:id="7">
    <w:p w14:paraId="32076E59" w14:textId="77777777" w:rsidR="001747A3" w:rsidRDefault="001747A3" w:rsidP="001747A3">
      <w:pPr>
        <w:pStyle w:val="FootnoteText"/>
      </w:pPr>
      <w:r>
        <w:rPr>
          <w:rStyle w:val="FootnoteReference"/>
        </w:rPr>
        <w:footnoteRef/>
      </w:r>
      <w:r>
        <w:t xml:space="preserve"> </w:t>
      </w:r>
      <w:hyperlink r:id="rId7" w:history="1">
        <w:r>
          <w:rPr>
            <w:rStyle w:val="Hyperlink"/>
          </w:rPr>
          <w:t>Section 17A Magistrates’ Courts Act 1980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E1B"/>
    <w:multiLevelType w:val="hybridMultilevel"/>
    <w:tmpl w:val="08A29B64"/>
    <w:lvl w:ilvl="0" w:tplc="0C02FD54">
      <w:start w:val="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nsid w:val="07A62EBE"/>
    <w:multiLevelType w:val="hybridMultilevel"/>
    <w:tmpl w:val="BE98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03F90"/>
    <w:multiLevelType w:val="hybridMultilevel"/>
    <w:tmpl w:val="6C161AC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nsid w:val="11CB4723"/>
    <w:multiLevelType w:val="hybridMultilevel"/>
    <w:tmpl w:val="D2CC80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776C5F"/>
    <w:multiLevelType w:val="multilevel"/>
    <w:tmpl w:val="83AA9D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954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4E73BC"/>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nsid w:val="21904F03"/>
    <w:multiLevelType w:val="multilevel"/>
    <w:tmpl w:val="EDB841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CE0D3D"/>
    <w:multiLevelType w:val="multilevel"/>
    <w:tmpl w:val="EDB841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E81AB2"/>
    <w:multiLevelType w:val="hybridMultilevel"/>
    <w:tmpl w:val="84A05D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5F85D9B"/>
    <w:multiLevelType w:val="hybridMultilevel"/>
    <w:tmpl w:val="0772E850"/>
    <w:lvl w:ilvl="0" w:tplc="68060D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F0107E"/>
    <w:multiLevelType w:val="hybridMultilevel"/>
    <w:tmpl w:val="70468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1810D4"/>
    <w:multiLevelType w:val="hybridMultilevel"/>
    <w:tmpl w:val="E49E288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17A5169"/>
    <w:multiLevelType w:val="multilevel"/>
    <w:tmpl w:val="F6141404"/>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2DB3055"/>
    <w:multiLevelType w:val="hybridMultilevel"/>
    <w:tmpl w:val="BD7E10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45554EC"/>
    <w:multiLevelType w:val="hybridMultilevel"/>
    <w:tmpl w:val="6F465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3C504B"/>
    <w:multiLevelType w:val="multilevel"/>
    <w:tmpl w:val="B52492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83506E4"/>
    <w:multiLevelType w:val="hybridMultilevel"/>
    <w:tmpl w:val="8EEA5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7D242D"/>
    <w:multiLevelType w:val="multilevel"/>
    <w:tmpl w:val="185868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17E42D2"/>
    <w:multiLevelType w:val="multilevel"/>
    <w:tmpl w:val="6090C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E606E85"/>
    <w:multiLevelType w:val="hybridMultilevel"/>
    <w:tmpl w:val="83A01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C54A98"/>
    <w:multiLevelType w:val="hybridMultilevel"/>
    <w:tmpl w:val="A5DC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5C633D"/>
    <w:multiLevelType w:val="multilevel"/>
    <w:tmpl w:val="C64498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68457D8"/>
    <w:multiLevelType w:val="hybridMultilevel"/>
    <w:tmpl w:val="BFA6D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7C867C2"/>
    <w:multiLevelType w:val="multilevel"/>
    <w:tmpl w:val="03E6D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7F109EC"/>
    <w:multiLevelType w:val="hybridMultilevel"/>
    <w:tmpl w:val="0C9C2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9DF1C0E"/>
    <w:multiLevelType w:val="hybridMultilevel"/>
    <w:tmpl w:val="E0220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CD0400"/>
    <w:multiLevelType w:val="multilevel"/>
    <w:tmpl w:val="5F42CD6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C4F7D4D"/>
    <w:multiLevelType w:val="multilevel"/>
    <w:tmpl w:val="EDB841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1D919CB"/>
    <w:multiLevelType w:val="hybridMultilevel"/>
    <w:tmpl w:val="904A0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65B77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AE34837"/>
    <w:multiLevelType w:val="hybridMultilevel"/>
    <w:tmpl w:val="621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611201"/>
    <w:multiLevelType w:val="hybridMultilevel"/>
    <w:tmpl w:val="49A0FC52"/>
    <w:lvl w:ilvl="0" w:tplc="BB4E57B6">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nsid w:val="6EF9271A"/>
    <w:multiLevelType w:val="hybridMultilevel"/>
    <w:tmpl w:val="70782DE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nsid w:val="708B663E"/>
    <w:multiLevelType w:val="hybridMultilevel"/>
    <w:tmpl w:val="4F8052A8"/>
    <w:lvl w:ilvl="0" w:tplc="F898A220">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5">
    <w:nsid w:val="73043235"/>
    <w:multiLevelType w:val="hybridMultilevel"/>
    <w:tmpl w:val="678001C2"/>
    <w:lvl w:ilvl="0" w:tplc="FEEEB89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4B7F4C"/>
    <w:multiLevelType w:val="hybridMultilevel"/>
    <w:tmpl w:val="CE202700"/>
    <w:lvl w:ilvl="0" w:tplc="C33C4B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7B369F1"/>
    <w:multiLevelType w:val="multilevel"/>
    <w:tmpl w:val="6090CE76"/>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8">
    <w:nsid w:val="78540C20"/>
    <w:multiLevelType w:val="hybridMultilevel"/>
    <w:tmpl w:val="88663F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4A1EAF"/>
    <w:multiLevelType w:val="hybridMultilevel"/>
    <w:tmpl w:val="A482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DCE13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E723AB1"/>
    <w:multiLevelType w:val="multilevel"/>
    <w:tmpl w:val="6090C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0"/>
  </w:num>
  <w:num w:numId="3">
    <w:abstractNumId w:val="2"/>
  </w:num>
  <w:num w:numId="4">
    <w:abstractNumId w:val="3"/>
  </w:num>
  <w:num w:numId="5">
    <w:abstractNumId w:val="12"/>
  </w:num>
  <w:num w:numId="6">
    <w:abstractNumId w:val="38"/>
  </w:num>
  <w:num w:numId="7">
    <w:abstractNumId w:val="20"/>
  </w:num>
  <w:num w:numId="8">
    <w:abstractNumId w:val="17"/>
  </w:num>
  <w:num w:numId="9">
    <w:abstractNumId w:val="11"/>
  </w:num>
  <w:num w:numId="10">
    <w:abstractNumId w:val="36"/>
  </w:num>
  <w:num w:numId="11">
    <w:abstractNumId w:val="10"/>
  </w:num>
  <w:num w:numId="12">
    <w:abstractNumId w:val="34"/>
  </w:num>
  <w:num w:numId="13">
    <w:abstractNumId w:val="35"/>
  </w:num>
  <w:num w:numId="14">
    <w:abstractNumId w:val="33"/>
  </w:num>
  <w:num w:numId="15">
    <w:abstractNumId w:val="21"/>
  </w:num>
  <w:num w:numId="16">
    <w:abstractNumId w:val="29"/>
  </w:num>
  <w:num w:numId="17">
    <w:abstractNumId w:val="23"/>
  </w:num>
  <w:num w:numId="18">
    <w:abstractNumId w:val="25"/>
  </w:num>
  <w:num w:numId="19">
    <w:abstractNumId w:val="27"/>
  </w:num>
  <w:num w:numId="20">
    <w:abstractNumId w:val="19"/>
  </w:num>
  <w:num w:numId="21">
    <w:abstractNumId w:val="37"/>
  </w:num>
  <w:num w:numId="22">
    <w:abstractNumId w:val="41"/>
  </w:num>
  <w:num w:numId="23">
    <w:abstractNumId w:val="30"/>
  </w:num>
  <w:num w:numId="24">
    <w:abstractNumId w:val="6"/>
  </w:num>
  <w:num w:numId="25">
    <w:abstractNumId w:val="5"/>
  </w:num>
  <w:num w:numId="26">
    <w:abstractNumId w:val="22"/>
  </w:num>
  <w:num w:numId="27">
    <w:abstractNumId w:val="18"/>
  </w:num>
  <w:num w:numId="28">
    <w:abstractNumId w:val="7"/>
  </w:num>
  <w:num w:numId="29">
    <w:abstractNumId w:val="8"/>
  </w:num>
  <w:num w:numId="30">
    <w:abstractNumId w:val="28"/>
  </w:num>
  <w:num w:numId="31">
    <w:abstractNumId w:val="40"/>
  </w:num>
  <w:num w:numId="32">
    <w:abstractNumId w:val="26"/>
  </w:num>
  <w:num w:numId="33">
    <w:abstractNumId w:val="1"/>
  </w:num>
  <w:num w:numId="34">
    <w:abstractNumId w:val="15"/>
  </w:num>
  <w:num w:numId="35">
    <w:abstractNumId w:val="39"/>
  </w:num>
  <w:num w:numId="36">
    <w:abstractNumId w:val="16"/>
  </w:num>
  <w:num w:numId="37">
    <w:abstractNumId w:val="14"/>
  </w:num>
  <w:num w:numId="38">
    <w:abstractNumId w:val="4"/>
  </w:num>
  <w:num w:numId="39">
    <w:abstractNumId w:val="9"/>
  </w:num>
  <w:num w:numId="40">
    <w:abstractNumId w:val="13"/>
  </w:num>
  <w:num w:numId="41">
    <w:abstractNumId w:val="24"/>
  </w:num>
  <w:num w:numId="42">
    <w:abstractNumId w:val="1"/>
  </w:num>
  <w:num w:numId="43">
    <w:abstractNumId w:val="39"/>
  </w:num>
  <w:num w:numId="44">
    <w:abstractNumId w:val="33"/>
  </w:num>
  <w:num w:numId="45">
    <w:abstractNumId w:val="31"/>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10B"/>
    <w:rsid w:val="0000650B"/>
    <w:rsid w:val="0001081E"/>
    <w:rsid w:val="0001483C"/>
    <w:rsid w:val="00027F91"/>
    <w:rsid w:val="00054A3D"/>
    <w:rsid w:val="000609E8"/>
    <w:rsid w:val="00063096"/>
    <w:rsid w:val="00063ED9"/>
    <w:rsid w:val="00067655"/>
    <w:rsid w:val="00073191"/>
    <w:rsid w:val="000760C5"/>
    <w:rsid w:val="00076770"/>
    <w:rsid w:val="00090932"/>
    <w:rsid w:val="000A4BB0"/>
    <w:rsid w:val="000A4DCD"/>
    <w:rsid w:val="000C2F6A"/>
    <w:rsid w:val="000C4E56"/>
    <w:rsid w:val="000D2A37"/>
    <w:rsid w:val="000D4ABB"/>
    <w:rsid w:val="000E2B8E"/>
    <w:rsid w:val="000E3D93"/>
    <w:rsid w:val="000F326A"/>
    <w:rsid w:val="00106BCA"/>
    <w:rsid w:val="00130567"/>
    <w:rsid w:val="0013154C"/>
    <w:rsid w:val="00135376"/>
    <w:rsid w:val="001476C2"/>
    <w:rsid w:val="00151C5E"/>
    <w:rsid w:val="00163099"/>
    <w:rsid w:val="00165652"/>
    <w:rsid w:val="001712F3"/>
    <w:rsid w:val="001747A3"/>
    <w:rsid w:val="001930C3"/>
    <w:rsid w:val="001935F3"/>
    <w:rsid w:val="001A431E"/>
    <w:rsid w:val="001B10D3"/>
    <w:rsid w:val="001B45DC"/>
    <w:rsid w:val="001C0E35"/>
    <w:rsid w:val="001C1E9A"/>
    <w:rsid w:val="001D6D9E"/>
    <w:rsid w:val="001E53B1"/>
    <w:rsid w:val="001F1B69"/>
    <w:rsid w:val="00203B53"/>
    <w:rsid w:val="002213FE"/>
    <w:rsid w:val="002266F4"/>
    <w:rsid w:val="00230A9B"/>
    <w:rsid w:val="00241D35"/>
    <w:rsid w:val="00244105"/>
    <w:rsid w:val="002670C7"/>
    <w:rsid w:val="0026742E"/>
    <w:rsid w:val="00272570"/>
    <w:rsid w:val="002733BC"/>
    <w:rsid w:val="002775FB"/>
    <w:rsid w:val="00291C5E"/>
    <w:rsid w:val="002B08E1"/>
    <w:rsid w:val="002B2975"/>
    <w:rsid w:val="002B2CC5"/>
    <w:rsid w:val="002C3FF5"/>
    <w:rsid w:val="002C4CB5"/>
    <w:rsid w:val="002C6432"/>
    <w:rsid w:val="002D59D5"/>
    <w:rsid w:val="002E0C14"/>
    <w:rsid w:val="002F22F8"/>
    <w:rsid w:val="002F377E"/>
    <w:rsid w:val="002F744A"/>
    <w:rsid w:val="0030208C"/>
    <w:rsid w:val="00322946"/>
    <w:rsid w:val="003257C7"/>
    <w:rsid w:val="003351D9"/>
    <w:rsid w:val="00341939"/>
    <w:rsid w:val="0034728E"/>
    <w:rsid w:val="003516D5"/>
    <w:rsid w:val="00384549"/>
    <w:rsid w:val="00394352"/>
    <w:rsid w:val="003A7B66"/>
    <w:rsid w:val="003B5D6D"/>
    <w:rsid w:val="003B7D71"/>
    <w:rsid w:val="003D47C4"/>
    <w:rsid w:val="003E4D74"/>
    <w:rsid w:val="00421C31"/>
    <w:rsid w:val="00425CD9"/>
    <w:rsid w:val="004274BB"/>
    <w:rsid w:val="004316B0"/>
    <w:rsid w:val="00450460"/>
    <w:rsid w:val="00454EE1"/>
    <w:rsid w:val="004554CB"/>
    <w:rsid w:val="00472AD1"/>
    <w:rsid w:val="0047501D"/>
    <w:rsid w:val="004967B4"/>
    <w:rsid w:val="004A1EB6"/>
    <w:rsid w:val="004D2207"/>
    <w:rsid w:val="004E02E9"/>
    <w:rsid w:val="004F281E"/>
    <w:rsid w:val="004F55ED"/>
    <w:rsid w:val="004F7AB9"/>
    <w:rsid w:val="005013E1"/>
    <w:rsid w:val="00501D66"/>
    <w:rsid w:val="00502793"/>
    <w:rsid w:val="00523DA2"/>
    <w:rsid w:val="0052731A"/>
    <w:rsid w:val="0053266E"/>
    <w:rsid w:val="00536A1B"/>
    <w:rsid w:val="00537553"/>
    <w:rsid w:val="005450B7"/>
    <w:rsid w:val="005458CD"/>
    <w:rsid w:val="00547357"/>
    <w:rsid w:val="00556485"/>
    <w:rsid w:val="00557353"/>
    <w:rsid w:val="00567683"/>
    <w:rsid w:val="00580194"/>
    <w:rsid w:val="005904AC"/>
    <w:rsid w:val="00593F8E"/>
    <w:rsid w:val="00595DFD"/>
    <w:rsid w:val="005976CE"/>
    <w:rsid w:val="005A59B2"/>
    <w:rsid w:val="005D07A3"/>
    <w:rsid w:val="005D0CDC"/>
    <w:rsid w:val="005D1740"/>
    <w:rsid w:val="005D438F"/>
    <w:rsid w:val="005D6F7A"/>
    <w:rsid w:val="005E334E"/>
    <w:rsid w:val="005E43E2"/>
    <w:rsid w:val="005E5A0F"/>
    <w:rsid w:val="005F73F1"/>
    <w:rsid w:val="0060294C"/>
    <w:rsid w:val="006107DE"/>
    <w:rsid w:val="00612DF0"/>
    <w:rsid w:val="006218FE"/>
    <w:rsid w:val="006226C3"/>
    <w:rsid w:val="006250CC"/>
    <w:rsid w:val="00627035"/>
    <w:rsid w:val="00632165"/>
    <w:rsid w:val="00643E0B"/>
    <w:rsid w:val="00651074"/>
    <w:rsid w:val="00657FE2"/>
    <w:rsid w:val="006612BC"/>
    <w:rsid w:val="0066612B"/>
    <w:rsid w:val="00666645"/>
    <w:rsid w:val="00674402"/>
    <w:rsid w:val="00675C57"/>
    <w:rsid w:val="006831C3"/>
    <w:rsid w:val="00684776"/>
    <w:rsid w:val="006A6472"/>
    <w:rsid w:val="006B4946"/>
    <w:rsid w:val="006C0F2C"/>
    <w:rsid w:val="006C6AB8"/>
    <w:rsid w:val="006D710C"/>
    <w:rsid w:val="006F5665"/>
    <w:rsid w:val="00701B78"/>
    <w:rsid w:val="007061C5"/>
    <w:rsid w:val="007165AA"/>
    <w:rsid w:val="00724196"/>
    <w:rsid w:val="00731B33"/>
    <w:rsid w:val="0074229F"/>
    <w:rsid w:val="00743B94"/>
    <w:rsid w:val="0074482C"/>
    <w:rsid w:val="00752851"/>
    <w:rsid w:val="007540F2"/>
    <w:rsid w:val="00757E55"/>
    <w:rsid w:val="0076705E"/>
    <w:rsid w:val="00770A60"/>
    <w:rsid w:val="00776413"/>
    <w:rsid w:val="00781C75"/>
    <w:rsid w:val="0079116F"/>
    <w:rsid w:val="007A19BB"/>
    <w:rsid w:val="007A53FE"/>
    <w:rsid w:val="007A6A0D"/>
    <w:rsid w:val="007B7B3F"/>
    <w:rsid w:val="007C090C"/>
    <w:rsid w:val="007C461E"/>
    <w:rsid w:val="007C6270"/>
    <w:rsid w:val="007C6ACC"/>
    <w:rsid w:val="007D1BFC"/>
    <w:rsid w:val="007E35C2"/>
    <w:rsid w:val="007E681B"/>
    <w:rsid w:val="007F1EEC"/>
    <w:rsid w:val="00803A03"/>
    <w:rsid w:val="00811238"/>
    <w:rsid w:val="008234DE"/>
    <w:rsid w:val="008261A7"/>
    <w:rsid w:val="00833FE6"/>
    <w:rsid w:val="00860ACE"/>
    <w:rsid w:val="00867D41"/>
    <w:rsid w:val="0089212F"/>
    <w:rsid w:val="0089414E"/>
    <w:rsid w:val="0089780B"/>
    <w:rsid w:val="008A0E2C"/>
    <w:rsid w:val="008B4EAB"/>
    <w:rsid w:val="008D1201"/>
    <w:rsid w:val="008D64FA"/>
    <w:rsid w:val="008E47D1"/>
    <w:rsid w:val="0090437E"/>
    <w:rsid w:val="00904D49"/>
    <w:rsid w:val="00905966"/>
    <w:rsid w:val="0091295E"/>
    <w:rsid w:val="00920056"/>
    <w:rsid w:val="00924D57"/>
    <w:rsid w:val="00937360"/>
    <w:rsid w:val="00946AC7"/>
    <w:rsid w:val="00954DDF"/>
    <w:rsid w:val="00955D07"/>
    <w:rsid w:val="00960F04"/>
    <w:rsid w:val="00964CB0"/>
    <w:rsid w:val="0096688A"/>
    <w:rsid w:val="00976B80"/>
    <w:rsid w:val="0097722A"/>
    <w:rsid w:val="00980E60"/>
    <w:rsid w:val="0099265F"/>
    <w:rsid w:val="009A048B"/>
    <w:rsid w:val="009A664D"/>
    <w:rsid w:val="009D2C67"/>
    <w:rsid w:val="009D4238"/>
    <w:rsid w:val="009D7F8E"/>
    <w:rsid w:val="009E03EE"/>
    <w:rsid w:val="009E1DB2"/>
    <w:rsid w:val="00A03A25"/>
    <w:rsid w:val="00A059B0"/>
    <w:rsid w:val="00A23F30"/>
    <w:rsid w:val="00A248B5"/>
    <w:rsid w:val="00A26876"/>
    <w:rsid w:val="00A325D3"/>
    <w:rsid w:val="00A32CBB"/>
    <w:rsid w:val="00A335A9"/>
    <w:rsid w:val="00A34C77"/>
    <w:rsid w:val="00A540C1"/>
    <w:rsid w:val="00A61F3A"/>
    <w:rsid w:val="00A6213D"/>
    <w:rsid w:val="00A67AAE"/>
    <w:rsid w:val="00A872F6"/>
    <w:rsid w:val="00A875E8"/>
    <w:rsid w:val="00A923EB"/>
    <w:rsid w:val="00AA3A00"/>
    <w:rsid w:val="00AB1AAC"/>
    <w:rsid w:val="00AD73D4"/>
    <w:rsid w:val="00AE2244"/>
    <w:rsid w:val="00AE38D1"/>
    <w:rsid w:val="00AE55BF"/>
    <w:rsid w:val="00B020B5"/>
    <w:rsid w:val="00B114D4"/>
    <w:rsid w:val="00B164DA"/>
    <w:rsid w:val="00B16821"/>
    <w:rsid w:val="00B24C92"/>
    <w:rsid w:val="00B3474D"/>
    <w:rsid w:val="00B374F7"/>
    <w:rsid w:val="00B51695"/>
    <w:rsid w:val="00B61B0B"/>
    <w:rsid w:val="00B61B4D"/>
    <w:rsid w:val="00B6783A"/>
    <w:rsid w:val="00B80DD6"/>
    <w:rsid w:val="00B851A2"/>
    <w:rsid w:val="00B85BD6"/>
    <w:rsid w:val="00B87369"/>
    <w:rsid w:val="00B91469"/>
    <w:rsid w:val="00B9431E"/>
    <w:rsid w:val="00B94742"/>
    <w:rsid w:val="00B967DE"/>
    <w:rsid w:val="00BA4DB7"/>
    <w:rsid w:val="00BA577E"/>
    <w:rsid w:val="00BA5BCD"/>
    <w:rsid w:val="00BB61D2"/>
    <w:rsid w:val="00BC639D"/>
    <w:rsid w:val="00BC7712"/>
    <w:rsid w:val="00BD0420"/>
    <w:rsid w:val="00BD26BF"/>
    <w:rsid w:val="00BF378D"/>
    <w:rsid w:val="00C06583"/>
    <w:rsid w:val="00C13192"/>
    <w:rsid w:val="00C36A13"/>
    <w:rsid w:val="00C414C5"/>
    <w:rsid w:val="00C41DDA"/>
    <w:rsid w:val="00C41E12"/>
    <w:rsid w:val="00C71F6B"/>
    <w:rsid w:val="00C80C63"/>
    <w:rsid w:val="00C83174"/>
    <w:rsid w:val="00CA1C3D"/>
    <w:rsid w:val="00CB08EB"/>
    <w:rsid w:val="00CC0585"/>
    <w:rsid w:val="00CC0AA2"/>
    <w:rsid w:val="00CD2324"/>
    <w:rsid w:val="00CD57DB"/>
    <w:rsid w:val="00CE610B"/>
    <w:rsid w:val="00CE7B04"/>
    <w:rsid w:val="00CF3B20"/>
    <w:rsid w:val="00CF7BFC"/>
    <w:rsid w:val="00D02D63"/>
    <w:rsid w:val="00D03DB9"/>
    <w:rsid w:val="00D11421"/>
    <w:rsid w:val="00D24EC4"/>
    <w:rsid w:val="00D250B8"/>
    <w:rsid w:val="00D4201A"/>
    <w:rsid w:val="00D5725F"/>
    <w:rsid w:val="00D6763D"/>
    <w:rsid w:val="00D7619A"/>
    <w:rsid w:val="00D81820"/>
    <w:rsid w:val="00D8769C"/>
    <w:rsid w:val="00D9710C"/>
    <w:rsid w:val="00D9745C"/>
    <w:rsid w:val="00DA1404"/>
    <w:rsid w:val="00DA27CF"/>
    <w:rsid w:val="00DA4407"/>
    <w:rsid w:val="00DB5505"/>
    <w:rsid w:val="00DB5531"/>
    <w:rsid w:val="00DB7C69"/>
    <w:rsid w:val="00DE48B9"/>
    <w:rsid w:val="00DF1D9A"/>
    <w:rsid w:val="00DF6F55"/>
    <w:rsid w:val="00E05C80"/>
    <w:rsid w:val="00E12413"/>
    <w:rsid w:val="00E2135A"/>
    <w:rsid w:val="00E27C06"/>
    <w:rsid w:val="00E27F83"/>
    <w:rsid w:val="00E30BE8"/>
    <w:rsid w:val="00E34B04"/>
    <w:rsid w:val="00E46A43"/>
    <w:rsid w:val="00E62A27"/>
    <w:rsid w:val="00E64C95"/>
    <w:rsid w:val="00E74331"/>
    <w:rsid w:val="00E9263D"/>
    <w:rsid w:val="00EA790D"/>
    <w:rsid w:val="00EB0265"/>
    <w:rsid w:val="00EC0C58"/>
    <w:rsid w:val="00EC2741"/>
    <w:rsid w:val="00EC35EC"/>
    <w:rsid w:val="00EC5CB5"/>
    <w:rsid w:val="00EC7E71"/>
    <w:rsid w:val="00EE2C0E"/>
    <w:rsid w:val="00EF0165"/>
    <w:rsid w:val="00F00DE1"/>
    <w:rsid w:val="00F03FD5"/>
    <w:rsid w:val="00F07402"/>
    <w:rsid w:val="00F20213"/>
    <w:rsid w:val="00F25C82"/>
    <w:rsid w:val="00F42B05"/>
    <w:rsid w:val="00F43B65"/>
    <w:rsid w:val="00F53A64"/>
    <w:rsid w:val="00F717DB"/>
    <w:rsid w:val="00F74B6B"/>
    <w:rsid w:val="00F82B5A"/>
    <w:rsid w:val="00F90355"/>
    <w:rsid w:val="00F93839"/>
    <w:rsid w:val="00FB114E"/>
    <w:rsid w:val="00FC1BCA"/>
    <w:rsid w:val="00FC6E65"/>
    <w:rsid w:val="00FD130E"/>
    <w:rsid w:val="00FD7FAA"/>
    <w:rsid w:val="00FE7998"/>
    <w:rsid w:val="00FF04DB"/>
    <w:rsid w:val="00F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7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2C"/>
    <w:pPr>
      <w:ind w:left="720"/>
      <w:contextualSpacing/>
    </w:pPr>
  </w:style>
  <w:style w:type="paragraph" w:styleId="NoSpacing">
    <w:name w:val="No Spacing"/>
    <w:uiPriority w:val="1"/>
    <w:qFormat/>
    <w:rsid w:val="00BF378D"/>
    <w:pPr>
      <w:spacing w:after="0" w:line="240" w:lineRule="auto"/>
    </w:pPr>
  </w:style>
  <w:style w:type="paragraph" w:styleId="FootnoteText">
    <w:name w:val="footnote text"/>
    <w:basedOn w:val="Normal"/>
    <w:link w:val="FootnoteTextChar"/>
    <w:uiPriority w:val="99"/>
    <w:semiHidden/>
    <w:unhideWhenUsed/>
    <w:rsid w:val="00FD1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30E"/>
    <w:rPr>
      <w:sz w:val="20"/>
      <w:szCs w:val="20"/>
    </w:rPr>
  </w:style>
  <w:style w:type="character" w:styleId="FootnoteReference">
    <w:name w:val="footnote reference"/>
    <w:basedOn w:val="DefaultParagraphFont"/>
    <w:uiPriority w:val="99"/>
    <w:semiHidden/>
    <w:unhideWhenUsed/>
    <w:rsid w:val="00FD130E"/>
    <w:rPr>
      <w:vertAlign w:val="superscript"/>
    </w:rPr>
  </w:style>
  <w:style w:type="character" w:styleId="CommentReference">
    <w:name w:val="annotation reference"/>
    <w:basedOn w:val="DefaultParagraphFont"/>
    <w:uiPriority w:val="99"/>
    <w:semiHidden/>
    <w:unhideWhenUsed/>
    <w:rsid w:val="00B851A2"/>
    <w:rPr>
      <w:sz w:val="16"/>
      <w:szCs w:val="16"/>
    </w:rPr>
  </w:style>
  <w:style w:type="paragraph" w:styleId="CommentText">
    <w:name w:val="annotation text"/>
    <w:basedOn w:val="Normal"/>
    <w:link w:val="CommentTextChar"/>
    <w:uiPriority w:val="99"/>
    <w:semiHidden/>
    <w:unhideWhenUsed/>
    <w:rsid w:val="00B851A2"/>
    <w:pPr>
      <w:spacing w:line="240" w:lineRule="auto"/>
    </w:pPr>
    <w:rPr>
      <w:sz w:val="20"/>
      <w:szCs w:val="20"/>
    </w:rPr>
  </w:style>
  <w:style w:type="character" w:customStyle="1" w:styleId="CommentTextChar">
    <w:name w:val="Comment Text Char"/>
    <w:basedOn w:val="DefaultParagraphFont"/>
    <w:link w:val="CommentText"/>
    <w:uiPriority w:val="99"/>
    <w:semiHidden/>
    <w:rsid w:val="00B851A2"/>
    <w:rPr>
      <w:sz w:val="20"/>
      <w:szCs w:val="20"/>
    </w:rPr>
  </w:style>
  <w:style w:type="paragraph" w:styleId="CommentSubject">
    <w:name w:val="annotation subject"/>
    <w:basedOn w:val="CommentText"/>
    <w:next w:val="CommentText"/>
    <w:link w:val="CommentSubjectChar"/>
    <w:uiPriority w:val="99"/>
    <w:semiHidden/>
    <w:unhideWhenUsed/>
    <w:rsid w:val="00B851A2"/>
    <w:rPr>
      <w:b/>
      <w:bCs/>
    </w:rPr>
  </w:style>
  <w:style w:type="character" w:customStyle="1" w:styleId="CommentSubjectChar">
    <w:name w:val="Comment Subject Char"/>
    <w:basedOn w:val="CommentTextChar"/>
    <w:link w:val="CommentSubject"/>
    <w:uiPriority w:val="99"/>
    <w:semiHidden/>
    <w:rsid w:val="00B851A2"/>
    <w:rPr>
      <w:b/>
      <w:bCs/>
      <w:sz w:val="20"/>
      <w:szCs w:val="20"/>
    </w:rPr>
  </w:style>
  <w:style w:type="paragraph" w:styleId="BalloonText">
    <w:name w:val="Balloon Text"/>
    <w:basedOn w:val="Normal"/>
    <w:link w:val="BalloonTextChar"/>
    <w:uiPriority w:val="99"/>
    <w:semiHidden/>
    <w:unhideWhenUsed/>
    <w:rsid w:val="00B85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A2"/>
    <w:rPr>
      <w:rFonts w:ascii="Segoe UI" w:hAnsi="Segoe UI" w:cs="Segoe UI"/>
      <w:sz w:val="18"/>
      <w:szCs w:val="18"/>
    </w:rPr>
  </w:style>
  <w:style w:type="paragraph" w:styleId="Revision">
    <w:name w:val="Revision"/>
    <w:hidden/>
    <w:uiPriority w:val="99"/>
    <w:semiHidden/>
    <w:rsid w:val="00106BCA"/>
    <w:pPr>
      <w:spacing w:after="0" w:line="240" w:lineRule="auto"/>
    </w:pPr>
  </w:style>
  <w:style w:type="character" w:styleId="Hyperlink">
    <w:name w:val="Hyperlink"/>
    <w:basedOn w:val="DefaultParagraphFont"/>
    <w:uiPriority w:val="99"/>
    <w:unhideWhenUsed/>
    <w:rsid w:val="007540F2"/>
    <w:rPr>
      <w:color w:val="0563C1" w:themeColor="hyperlink"/>
      <w:u w:val="single"/>
    </w:rPr>
  </w:style>
  <w:style w:type="character" w:customStyle="1" w:styleId="UnresolvedMention">
    <w:name w:val="Unresolved Mention"/>
    <w:basedOn w:val="DefaultParagraphFont"/>
    <w:uiPriority w:val="99"/>
    <w:semiHidden/>
    <w:unhideWhenUsed/>
    <w:rsid w:val="007540F2"/>
    <w:rPr>
      <w:color w:val="808080"/>
      <w:shd w:val="clear" w:color="auto" w:fill="E6E6E6"/>
    </w:rPr>
  </w:style>
  <w:style w:type="paragraph" w:styleId="EndnoteText">
    <w:name w:val="endnote text"/>
    <w:basedOn w:val="Normal"/>
    <w:link w:val="EndnoteTextChar"/>
    <w:uiPriority w:val="99"/>
    <w:semiHidden/>
    <w:unhideWhenUsed/>
    <w:rsid w:val="00C41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1E12"/>
    <w:rPr>
      <w:sz w:val="20"/>
      <w:szCs w:val="20"/>
    </w:rPr>
  </w:style>
  <w:style w:type="character" w:styleId="EndnoteReference">
    <w:name w:val="endnote reference"/>
    <w:basedOn w:val="DefaultParagraphFont"/>
    <w:uiPriority w:val="99"/>
    <w:semiHidden/>
    <w:unhideWhenUsed/>
    <w:rsid w:val="00C41E12"/>
    <w:rPr>
      <w:vertAlign w:val="superscript"/>
    </w:rPr>
  </w:style>
  <w:style w:type="paragraph" w:styleId="Header">
    <w:name w:val="header"/>
    <w:basedOn w:val="Normal"/>
    <w:link w:val="HeaderChar"/>
    <w:uiPriority w:val="99"/>
    <w:unhideWhenUsed/>
    <w:rsid w:val="00674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02"/>
  </w:style>
  <w:style w:type="paragraph" w:styleId="Footer">
    <w:name w:val="footer"/>
    <w:basedOn w:val="Normal"/>
    <w:link w:val="FooterChar"/>
    <w:uiPriority w:val="99"/>
    <w:unhideWhenUsed/>
    <w:rsid w:val="00674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02"/>
  </w:style>
  <w:style w:type="character" w:styleId="FollowedHyperlink">
    <w:name w:val="FollowedHyperlink"/>
    <w:basedOn w:val="DefaultParagraphFont"/>
    <w:uiPriority w:val="99"/>
    <w:semiHidden/>
    <w:unhideWhenUsed/>
    <w:rsid w:val="00F82B5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2C"/>
    <w:pPr>
      <w:ind w:left="720"/>
      <w:contextualSpacing/>
    </w:pPr>
  </w:style>
  <w:style w:type="paragraph" w:styleId="NoSpacing">
    <w:name w:val="No Spacing"/>
    <w:uiPriority w:val="1"/>
    <w:qFormat/>
    <w:rsid w:val="00BF378D"/>
    <w:pPr>
      <w:spacing w:after="0" w:line="240" w:lineRule="auto"/>
    </w:pPr>
  </w:style>
  <w:style w:type="paragraph" w:styleId="FootnoteText">
    <w:name w:val="footnote text"/>
    <w:basedOn w:val="Normal"/>
    <w:link w:val="FootnoteTextChar"/>
    <w:uiPriority w:val="99"/>
    <w:semiHidden/>
    <w:unhideWhenUsed/>
    <w:rsid w:val="00FD1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30E"/>
    <w:rPr>
      <w:sz w:val="20"/>
      <w:szCs w:val="20"/>
    </w:rPr>
  </w:style>
  <w:style w:type="character" w:styleId="FootnoteReference">
    <w:name w:val="footnote reference"/>
    <w:basedOn w:val="DefaultParagraphFont"/>
    <w:uiPriority w:val="99"/>
    <w:semiHidden/>
    <w:unhideWhenUsed/>
    <w:rsid w:val="00FD130E"/>
    <w:rPr>
      <w:vertAlign w:val="superscript"/>
    </w:rPr>
  </w:style>
  <w:style w:type="character" w:styleId="CommentReference">
    <w:name w:val="annotation reference"/>
    <w:basedOn w:val="DefaultParagraphFont"/>
    <w:uiPriority w:val="99"/>
    <w:semiHidden/>
    <w:unhideWhenUsed/>
    <w:rsid w:val="00B851A2"/>
    <w:rPr>
      <w:sz w:val="16"/>
      <w:szCs w:val="16"/>
    </w:rPr>
  </w:style>
  <w:style w:type="paragraph" w:styleId="CommentText">
    <w:name w:val="annotation text"/>
    <w:basedOn w:val="Normal"/>
    <w:link w:val="CommentTextChar"/>
    <w:uiPriority w:val="99"/>
    <w:semiHidden/>
    <w:unhideWhenUsed/>
    <w:rsid w:val="00B851A2"/>
    <w:pPr>
      <w:spacing w:line="240" w:lineRule="auto"/>
    </w:pPr>
    <w:rPr>
      <w:sz w:val="20"/>
      <w:szCs w:val="20"/>
    </w:rPr>
  </w:style>
  <w:style w:type="character" w:customStyle="1" w:styleId="CommentTextChar">
    <w:name w:val="Comment Text Char"/>
    <w:basedOn w:val="DefaultParagraphFont"/>
    <w:link w:val="CommentText"/>
    <w:uiPriority w:val="99"/>
    <w:semiHidden/>
    <w:rsid w:val="00B851A2"/>
    <w:rPr>
      <w:sz w:val="20"/>
      <w:szCs w:val="20"/>
    </w:rPr>
  </w:style>
  <w:style w:type="paragraph" w:styleId="CommentSubject">
    <w:name w:val="annotation subject"/>
    <w:basedOn w:val="CommentText"/>
    <w:next w:val="CommentText"/>
    <w:link w:val="CommentSubjectChar"/>
    <w:uiPriority w:val="99"/>
    <w:semiHidden/>
    <w:unhideWhenUsed/>
    <w:rsid w:val="00B851A2"/>
    <w:rPr>
      <w:b/>
      <w:bCs/>
    </w:rPr>
  </w:style>
  <w:style w:type="character" w:customStyle="1" w:styleId="CommentSubjectChar">
    <w:name w:val="Comment Subject Char"/>
    <w:basedOn w:val="CommentTextChar"/>
    <w:link w:val="CommentSubject"/>
    <w:uiPriority w:val="99"/>
    <w:semiHidden/>
    <w:rsid w:val="00B851A2"/>
    <w:rPr>
      <w:b/>
      <w:bCs/>
      <w:sz w:val="20"/>
      <w:szCs w:val="20"/>
    </w:rPr>
  </w:style>
  <w:style w:type="paragraph" w:styleId="BalloonText">
    <w:name w:val="Balloon Text"/>
    <w:basedOn w:val="Normal"/>
    <w:link w:val="BalloonTextChar"/>
    <w:uiPriority w:val="99"/>
    <w:semiHidden/>
    <w:unhideWhenUsed/>
    <w:rsid w:val="00B85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A2"/>
    <w:rPr>
      <w:rFonts w:ascii="Segoe UI" w:hAnsi="Segoe UI" w:cs="Segoe UI"/>
      <w:sz w:val="18"/>
      <w:szCs w:val="18"/>
    </w:rPr>
  </w:style>
  <w:style w:type="paragraph" w:styleId="Revision">
    <w:name w:val="Revision"/>
    <w:hidden/>
    <w:uiPriority w:val="99"/>
    <w:semiHidden/>
    <w:rsid w:val="00106BCA"/>
    <w:pPr>
      <w:spacing w:after="0" w:line="240" w:lineRule="auto"/>
    </w:pPr>
  </w:style>
  <w:style w:type="character" w:styleId="Hyperlink">
    <w:name w:val="Hyperlink"/>
    <w:basedOn w:val="DefaultParagraphFont"/>
    <w:uiPriority w:val="99"/>
    <w:unhideWhenUsed/>
    <w:rsid w:val="007540F2"/>
    <w:rPr>
      <w:color w:val="0563C1" w:themeColor="hyperlink"/>
      <w:u w:val="single"/>
    </w:rPr>
  </w:style>
  <w:style w:type="character" w:customStyle="1" w:styleId="UnresolvedMention">
    <w:name w:val="Unresolved Mention"/>
    <w:basedOn w:val="DefaultParagraphFont"/>
    <w:uiPriority w:val="99"/>
    <w:semiHidden/>
    <w:unhideWhenUsed/>
    <w:rsid w:val="007540F2"/>
    <w:rPr>
      <w:color w:val="808080"/>
      <w:shd w:val="clear" w:color="auto" w:fill="E6E6E6"/>
    </w:rPr>
  </w:style>
  <w:style w:type="paragraph" w:styleId="EndnoteText">
    <w:name w:val="endnote text"/>
    <w:basedOn w:val="Normal"/>
    <w:link w:val="EndnoteTextChar"/>
    <w:uiPriority w:val="99"/>
    <w:semiHidden/>
    <w:unhideWhenUsed/>
    <w:rsid w:val="00C41E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1E12"/>
    <w:rPr>
      <w:sz w:val="20"/>
      <w:szCs w:val="20"/>
    </w:rPr>
  </w:style>
  <w:style w:type="character" w:styleId="EndnoteReference">
    <w:name w:val="endnote reference"/>
    <w:basedOn w:val="DefaultParagraphFont"/>
    <w:uiPriority w:val="99"/>
    <w:semiHidden/>
    <w:unhideWhenUsed/>
    <w:rsid w:val="00C41E12"/>
    <w:rPr>
      <w:vertAlign w:val="superscript"/>
    </w:rPr>
  </w:style>
  <w:style w:type="paragraph" w:styleId="Header">
    <w:name w:val="header"/>
    <w:basedOn w:val="Normal"/>
    <w:link w:val="HeaderChar"/>
    <w:uiPriority w:val="99"/>
    <w:unhideWhenUsed/>
    <w:rsid w:val="00674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402"/>
  </w:style>
  <w:style w:type="paragraph" w:styleId="Footer">
    <w:name w:val="footer"/>
    <w:basedOn w:val="Normal"/>
    <w:link w:val="FooterChar"/>
    <w:uiPriority w:val="99"/>
    <w:unhideWhenUsed/>
    <w:rsid w:val="00674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402"/>
  </w:style>
  <w:style w:type="character" w:styleId="FollowedHyperlink">
    <w:name w:val="FollowedHyperlink"/>
    <w:basedOn w:val="DefaultParagraphFont"/>
    <w:uiPriority w:val="99"/>
    <w:semiHidden/>
    <w:unhideWhenUsed/>
    <w:rsid w:val="00F82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947">
      <w:bodyDiv w:val="1"/>
      <w:marLeft w:val="0"/>
      <w:marRight w:val="0"/>
      <w:marTop w:val="0"/>
      <w:marBottom w:val="0"/>
      <w:divBdr>
        <w:top w:val="none" w:sz="0" w:space="0" w:color="auto"/>
        <w:left w:val="none" w:sz="0" w:space="0" w:color="auto"/>
        <w:bottom w:val="none" w:sz="0" w:space="0" w:color="auto"/>
        <w:right w:val="none" w:sz="0" w:space="0" w:color="auto"/>
      </w:divBdr>
    </w:div>
    <w:div w:id="345062361">
      <w:bodyDiv w:val="1"/>
      <w:marLeft w:val="0"/>
      <w:marRight w:val="0"/>
      <w:marTop w:val="0"/>
      <w:marBottom w:val="0"/>
      <w:divBdr>
        <w:top w:val="none" w:sz="0" w:space="0" w:color="auto"/>
        <w:left w:val="none" w:sz="0" w:space="0" w:color="auto"/>
        <w:bottom w:val="none" w:sz="0" w:space="0" w:color="auto"/>
        <w:right w:val="none" w:sz="0" w:space="0" w:color="auto"/>
      </w:divBdr>
    </w:div>
    <w:div w:id="720791837">
      <w:bodyDiv w:val="1"/>
      <w:marLeft w:val="0"/>
      <w:marRight w:val="0"/>
      <w:marTop w:val="0"/>
      <w:marBottom w:val="0"/>
      <w:divBdr>
        <w:top w:val="none" w:sz="0" w:space="0" w:color="auto"/>
        <w:left w:val="none" w:sz="0" w:space="0" w:color="auto"/>
        <w:bottom w:val="none" w:sz="0" w:space="0" w:color="auto"/>
        <w:right w:val="none" w:sz="0" w:space="0" w:color="auto"/>
      </w:divBdr>
    </w:div>
    <w:div w:id="836189172">
      <w:bodyDiv w:val="1"/>
      <w:marLeft w:val="0"/>
      <w:marRight w:val="0"/>
      <w:marTop w:val="0"/>
      <w:marBottom w:val="0"/>
      <w:divBdr>
        <w:top w:val="none" w:sz="0" w:space="0" w:color="auto"/>
        <w:left w:val="none" w:sz="0" w:space="0" w:color="auto"/>
        <w:bottom w:val="none" w:sz="0" w:space="0" w:color="auto"/>
        <w:right w:val="none" w:sz="0" w:space="0" w:color="auto"/>
      </w:divBdr>
    </w:div>
    <w:div w:id="1037465400">
      <w:bodyDiv w:val="1"/>
      <w:marLeft w:val="0"/>
      <w:marRight w:val="0"/>
      <w:marTop w:val="0"/>
      <w:marBottom w:val="0"/>
      <w:divBdr>
        <w:top w:val="none" w:sz="0" w:space="0" w:color="auto"/>
        <w:left w:val="none" w:sz="0" w:space="0" w:color="auto"/>
        <w:bottom w:val="none" w:sz="0" w:space="0" w:color="auto"/>
        <w:right w:val="none" w:sz="0" w:space="0" w:color="auto"/>
      </w:divBdr>
    </w:div>
    <w:div w:id="11860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7.emf"/><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stice.gov.uk/courts/procedure-rules/criminal/rulesmenu-2015"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ntencingcouncil.org.uk/overarching-guides/magistrates-court/item/allocation/" TargetMode="External"/><Relationship Id="rId22" Type="http://schemas.openxmlformats.org/officeDocument/2006/relationships/oleObject" Target="embeddings/Microsoft_Word_97_-_2003_Document1.doc"/></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pga/2003/44/section/158" TargetMode="External"/><Relationship Id="rId7" Type="http://schemas.openxmlformats.org/officeDocument/2006/relationships/hyperlink" Target="http://www.legislation.gov.uk/ukpga/1980/43/section/17A" TargetMode="External"/><Relationship Id="rId2" Type="http://schemas.openxmlformats.org/officeDocument/2006/relationships/hyperlink" Target="http://www.legislation.gov.uk/ukpga/2003/44/section/156" TargetMode="External"/><Relationship Id="rId1" Type="http://schemas.openxmlformats.org/officeDocument/2006/relationships/hyperlink" Target="http://www.legislation.gov.uk/uksi/2015/1490/part/3/crossheading/1/article/3n3" TargetMode="External"/><Relationship Id="rId6" Type="http://schemas.openxmlformats.org/officeDocument/2006/relationships/hyperlink" Target="http://www.legislation.gov.uk/ukpga/1980/43/section/9" TargetMode="External"/><Relationship Id="rId5" Type="http://schemas.openxmlformats.org/officeDocument/2006/relationships/hyperlink" Target="https://www.judiciary.uk/publications/the-better-case-management-bcm-handbook/" TargetMode="External"/><Relationship Id="rId4" Type="http://schemas.openxmlformats.org/officeDocument/2006/relationships/hyperlink" Target="http://www.legislation.gov.uk/uksi/2015/1490/part/24/article/24n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FE667895A8442B4C26F28219EE14B" ma:contentTypeVersion="12" ma:contentTypeDescription="Create a new document." ma:contentTypeScope="" ma:versionID="a0c625f9e7e67f49e1733fe8d867d7f4">
  <xsd:schema xmlns:xsd="http://www.w3.org/2001/XMLSchema" xmlns:xs="http://www.w3.org/2001/XMLSchema" xmlns:p="http://schemas.microsoft.com/office/2006/metadata/properties" xmlns:ns3="ef39d06b-697e-4312-bc1d-d964c89f643a" xmlns:ns4="dbfae56c-bbc2-4da7-b000-3db2a8d62c3d" targetNamespace="http://schemas.microsoft.com/office/2006/metadata/properties" ma:root="true" ma:fieldsID="fa37864e41df39bc2aae07750c27294f" ns3:_="" ns4:_="">
    <xsd:import namespace="ef39d06b-697e-4312-bc1d-d964c89f643a"/>
    <xsd:import namespace="dbfae56c-bbc2-4da7-b000-3db2a8d62c3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d06b-697e-4312-bc1d-d964c89f64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fae56c-bbc2-4da7-b000-3db2a8d62c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1B8F4-E45B-43C7-BC47-AB759F037B8E}">
  <ds:schemaRefs>
    <ds:schemaRef ds:uri="http://schemas.microsoft.com/sharepoint/v3/contenttype/forms"/>
  </ds:schemaRefs>
</ds:datastoreItem>
</file>

<file path=customXml/itemProps2.xml><?xml version="1.0" encoding="utf-8"?>
<ds:datastoreItem xmlns:ds="http://schemas.openxmlformats.org/officeDocument/2006/customXml" ds:itemID="{044C247A-D8E1-4C89-9251-334945199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9d06b-697e-4312-bc1d-d964c89f643a"/>
    <ds:schemaRef ds:uri="dbfae56c-bbc2-4da7-b000-3db2a8d62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0414C-F24F-438B-B729-7F83A7FC6B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3270A-E772-4ABB-BF8F-87752E72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Barnes1, David</dc:creator>
  <cp:lastModifiedBy>HP</cp:lastModifiedBy>
  <cp:revision>2</cp:revision>
  <dcterms:created xsi:type="dcterms:W3CDTF">2020-10-05T14:05:00Z</dcterms:created>
  <dcterms:modified xsi:type="dcterms:W3CDTF">2020-10-05T14:05:00Z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0x010100E72FE667895A8442B4C26F28219EE14B</vt:lpwstr>
  </property>
</Properties>
</file>