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8C6" w:rsidRDefault="002318C6" w:rsidP="00A675F5">
      <w:pPr>
        <w:keepNext/>
        <w:spacing w:before="220" w:after="220" w:line="164" w:lineRule="atLeast"/>
        <w:jc w:val="center"/>
        <w:rPr>
          <w:rFonts w:ascii="Garamond" w:hAnsi="Garamond"/>
          <w:bCs/>
          <w:color w:val="000000"/>
          <w:u w:val="single"/>
        </w:rPr>
      </w:pPr>
      <w:bookmarkStart w:id="0" w:name="_GoBack"/>
      <w:bookmarkEnd w:id="0"/>
      <w:r w:rsidRPr="002318C6">
        <w:rPr>
          <w:rFonts w:ascii="Garamond" w:hAnsi="Garamond"/>
          <w:bCs/>
          <w:color w:val="000000"/>
          <w:u w:val="single"/>
        </w:rPr>
        <w:t xml:space="preserve">Note regarding guidance issued </w:t>
      </w:r>
      <w:r>
        <w:rPr>
          <w:rFonts w:ascii="Garamond" w:hAnsi="Garamond"/>
          <w:bCs/>
          <w:color w:val="000000"/>
          <w:u w:val="single"/>
        </w:rPr>
        <w:t>affecting rights of audience in the Crown Court</w:t>
      </w:r>
    </w:p>
    <w:p w:rsidR="00646A2D" w:rsidRPr="00646A2D" w:rsidRDefault="00646A2D" w:rsidP="0045357C">
      <w:pPr>
        <w:keepNext/>
        <w:spacing w:before="220" w:after="220" w:line="164" w:lineRule="atLeast"/>
        <w:rPr>
          <w:rFonts w:ascii="Garamond" w:hAnsi="Garamond"/>
          <w:bCs/>
          <w:color w:val="000000"/>
          <w:u w:val="single"/>
        </w:rPr>
      </w:pPr>
      <w:r w:rsidRPr="00646A2D">
        <w:rPr>
          <w:rFonts w:ascii="Garamond" w:hAnsi="Garamond"/>
          <w:bCs/>
          <w:color w:val="000000"/>
          <w:u w:val="single"/>
        </w:rPr>
        <w:t>The Right to Exercise Rights of Audience</w:t>
      </w:r>
    </w:p>
    <w:p w:rsidR="00646A2D" w:rsidRDefault="00646A2D" w:rsidP="00646A2D">
      <w:pPr>
        <w:pStyle w:val="ListParagraph"/>
        <w:keepNext/>
        <w:numPr>
          <w:ilvl w:val="0"/>
          <w:numId w:val="3"/>
        </w:numPr>
        <w:spacing w:before="220" w:after="220" w:line="164" w:lineRule="atLeast"/>
        <w:rPr>
          <w:rFonts w:ascii="Garamond" w:hAnsi="Garamond"/>
          <w:bCs/>
          <w:color w:val="000000"/>
        </w:rPr>
      </w:pPr>
      <w:r>
        <w:rPr>
          <w:rFonts w:ascii="Garamond" w:hAnsi="Garamond"/>
          <w:bCs/>
          <w:color w:val="000000"/>
        </w:rPr>
        <w:t>Rights of audience</w:t>
      </w:r>
      <w:r w:rsidR="00A46D81">
        <w:rPr>
          <w:rFonts w:ascii="Garamond" w:hAnsi="Garamond"/>
          <w:bCs/>
          <w:color w:val="000000"/>
        </w:rPr>
        <w:t xml:space="preserve"> in the Crown Court</w:t>
      </w:r>
      <w:r>
        <w:rPr>
          <w:rFonts w:ascii="Garamond" w:hAnsi="Garamond"/>
          <w:bCs/>
          <w:color w:val="000000"/>
        </w:rPr>
        <w:t xml:space="preserve"> are dealt with at Archbold 2-23 2018.</w:t>
      </w:r>
    </w:p>
    <w:p w:rsidR="00646A2D" w:rsidRDefault="00646A2D" w:rsidP="00646A2D">
      <w:pPr>
        <w:pStyle w:val="ListParagraph"/>
        <w:keepNext/>
        <w:spacing w:before="220" w:after="220" w:line="164" w:lineRule="atLeast"/>
        <w:rPr>
          <w:rFonts w:ascii="Garamond" w:hAnsi="Garamond"/>
          <w:bCs/>
          <w:color w:val="000000"/>
        </w:rPr>
      </w:pPr>
    </w:p>
    <w:p w:rsidR="00646A2D" w:rsidRDefault="00D715F7" w:rsidP="00646A2D">
      <w:pPr>
        <w:pStyle w:val="ListParagraph"/>
        <w:numPr>
          <w:ilvl w:val="0"/>
          <w:numId w:val="3"/>
        </w:numPr>
        <w:spacing w:before="100" w:beforeAutospacing="1" w:after="110" w:line="164" w:lineRule="atLeast"/>
        <w:jc w:val="both"/>
        <w:rPr>
          <w:rFonts w:ascii="Garamond" w:hAnsi="Garamond"/>
          <w:color w:val="000000"/>
        </w:rPr>
      </w:pPr>
      <w:r>
        <w:rPr>
          <w:rFonts w:ascii="Garamond" w:hAnsi="Garamond"/>
          <w:color w:val="000000"/>
        </w:rPr>
        <w:t>This section of Archbold lays out that r</w:t>
      </w:r>
      <w:r w:rsidR="00646A2D" w:rsidRPr="00646A2D">
        <w:rPr>
          <w:rFonts w:ascii="Garamond" w:hAnsi="Garamond"/>
          <w:color w:val="000000"/>
        </w:rPr>
        <w:t xml:space="preserve">ights of audience before the Crown Court are governed by Pt 3 of the Legal Services Act 2007: see ss.12 and 13. </w:t>
      </w:r>
      <w:r w:rsidR="00646A2D">
        <w:rPr>
          <w:rFonts w:ascii="Garamond" w:hAnsi="Garamond"/>
          <w:color w:val="000000"/>
        </w:rPr>
        <w:t xml:space="preserve">Section </w:t>
      </w:r>
      <w:r w:rsidR="00646A2D" w:rsidRPr="00646A2D">
        <w:rPr>
          <w:rFonts w:ascii="Garamond" w:hAnsi="Garamond"/>
          <w:color w:val="000000"/>
        </w:rPr>
        <w:t>13(2) stipulates that a person is entitled to carry on a reserved legal activity if the person is an “</w:t>
      </w:r>
      <w:proofErr w:type="spellStart"/>
      <w:r w:rsidR="00646A2D" w:rsidRPr="00646A2D">
        <w:rPr>
          <w:rFonts w:ascii="Garamond" w:hAnsi="Garamond"/>
          <w:color w:val="000000"/>
        </w:rPr>
        <w:t>authorised</w:t>
      </w:r>
      <w:proofErr w:type="spellEnd"/>
      <w:r w:rsidR="00646A2D" w:rsidRPr="00646A2D">
        <w:rPr>
          <w:rFonts w:ascii="Garamond" w:hAnsi="Garamond"/>
          <w:color w:val="000000"/>
        </w:rPr>
        <w:t xml:space="preserve"> person” or “exempt person” in relation to that activity. An </w:t>
      </w:r>
      <w:proofErr w:type="spellStart"/>
      <w:r w:rsidR="00646A2D" w:rsidRPr="00646A2D">
        <w:rPr>
          <w:rFonts w:ascii="Garamond" w:hAnsi="Garamond"/>
          <w:color w:val="000000"/>
        </w:rPr>
        <w:t>authorised</w:t>
      </w:r>
      <w:proofErr w:type="spellEnd"/>
      <w:r w:rsidR="00646A2D" w:rsidRPr="00646A2D">
        <w:rPr>
          <w:rFonts w:ascii="Garamond" w:hAnsi="Garamond"/>
          <w:color w:val="000000"/>
        </w:rPr>
        <w:t xml:space="preserve"> person is a person who is </w:t>
      </w:r>
      <w:proofErr w:type="spellStart"/>
      <w:r w:rsidR="00646A2D" w:rsidRPr="00646A2D">
        <w:rPr>
          <w:rFonts w:ascii="Garamond" w:hAnsi="Garamond"/>
          <w:color w:val="000000"/>
        </w:rPr>
        <w:t>authorised</w:t>
      </w:r>
      <w:proofErr w:type="spellEnd"/>
      <w:r w:rsidR="00646A2D" w:rsidRPr="00646A2D">
        <w:rPr>
          <w:rFonts w:ascii="Garamond" w:hAnsi="Garamond"/>
          <w:color w:val="000000"/>
        </w:rPr>
        <w:t xml:space="preserve"> to carry on the relevant activity by a relevant approved regulator in relation to the relevant activity: s.18(1)(a). An exempt person is a person who is exempt by virtue of Sch.3 (exempt persons) or Sch.5, para. 13 or 18 (additional categories of exempt persons during transitional period). An “approved regulator” is a body which is designated as such by Sch.4, Pt 1, or under Sch.4, Pt 2, and whose regulatory arrangements are approved for the purposes of the Act, and, if an order under s.62(1)(a) has effect, the Legal Services Board (s.20(2)); and an approved regulator is a “relevant approved regulator” in relation to a reserved legal activity if the regulator is designated by Pt 1, or under Pt 2, of Sch.4 in relation to that activity, or where the regulator is the board, it is designated in relation to that activity by an order under s.62(1)(a). An approved regulator may </w:t>
      </w:r>
      <w:proofErr w:type="spellStart"/>
      <w:r w:rsidR="00646A2D" w:rsidRPr="00646A2D">
        <w:rPr>
          <w:rFonts w:ascii="Garamond" w:hAnsi="Garamond"/>
          <w:color w:val="000000"/>
        </w:rPr>
        <w:t>authorise</w:t>
      </w:r>
      <w:proofErr w:type="spellEnd"/>
      <w:r w:rsidR="00646A2D" w:rsidRPr="00646A2D">
        <w:rPr>
          <w:rFonts w:ascii="Garamond" w:hAnsi="Garamond"/>
          <w:color w:val="000000"/>
        </w:rPr>
        <w:t xml:space="preserve"> persons to carry on any activity which is a reserved legal activity in respect of which it is a relevant approved regulator: s.20(6).</w:t>
      </w:r>
      <w:r w:rsidR="00743545">
        <w:rPr>
          <w:rFonts w:ascii="Garamond" w:hAnsi="Garamond"/>
          <w:color w:val="000000"/>
        </w:rPr>
        <w:t xml:space="preserve"> The 2007 act replaced the Courts and Legal Servic</w:t>
      </w:r>
      <w:r w:rsidR="00B81930">
        <w:rPr>
          <w:rFonts w:ascii="Garamond" w:hAnsi="Garamond"/>
          <w:color w:val="000000"/>
        </w:rPr>
        <w:t>e</w:t>
      </w:r>
      <w:r w:rsidR="00743545">
        <w:rPr>
          <w:rFonts w:ascii="Garamond" w:hAnsi="Garamond"/>
          <w:color w:val="000000"/>
        </w:rPr>
        <w:t>s Act 1990.</w:t>
      </w:r>
    </w:p>
    <w:p w:rsidR="002318C6" w:rsidRDefault="002318C6" w:rsidP="002318C6">
      <w:pPr>
        <w:pStyle w:val="ListParagraph"/>
        <w:spacing w:before="100" w:beforeAutospacing="1" w:after="110" w:line="164" w:lineRule="atLeast"/>
        <w:jc w:val="both"/>
        <w:rPr>
          <w:rFonts w:ascii="Garamond" w:hAnsi="Garamond"/>
          <w:color w:val="000000"/>
        </w:rPr>
      </w:pPr>
    </w:p>
    <w:p w:rsidR="00D629B8" w:rsidRPr="00D629B8" w:rsidRDefault="002318C6" w:rsidP="00D629B8">
      <w:pPr>
        <w:pStyle w:val="ListParagraph"/>
        <w:numPr>
          <w:ilvl w:val="0"/>
          <w:numId w:val="3"/>
        </w:numPr>
        <w:spacing w:before="100" w:beforeAutospacing="1" w:after="110" w:line="164" w:lineRule="atLeast"/>
        <w:jc w:val="both"/>
        <w:rPr>
          <w:rFonts w:ascii="Garamond" w:hAnsi="Garamond"/>
          <w:color w:val="000000"/>
        </w:rPr>
      </w:pPr>
      <w:r>
        <w:rPr>
          <w:rFonts w:ascii="Garamond" w:hAnsi="Garamond"/>
          <w:color w:val="000000"/>
        </w:rPr>
        <w:t>Put briefly, a barrister has rights of audience in the Crown Court where the Bar Standards Board is satisfied he or she has the relevant qualifications, has satisfied the continuing professional development (“CPD”) requirements and possesses the necessary insurance. A practicing certificate will be issued and valid in these circumstances and these circumstances only.</w:t>
      </w:r>
    </w:p>
    <w:p w:rsidR="00D629B8" w:rsidRDefault="00D629B8" w:rsidP="00D629B8">
      <w:pPr>
        <w:pStyle w:val="ListParagraph"/>
        <w:spacing w:before="100" w:beforeAutospacing="1" w:after="110" w:line="164" w:lineRule="atLeast"/>
        <w:jc w:val="both"/>
        <w:rPr>
          <w:rFonts w:ascii="Garamond" w:hAnsi="Garamond"/>
          <w:color w:val="000000"/>
        </w:rPr>
      </w:pPr>
    </w:p>
    <w:p w:rsidR="00D629B8" w:rsidRPr="00D629B8" w:rsidRDefault="00D629B8" w:rsidP="00D629B8">
      <w:pPr>
        <w:pStyle w:val="ListParagraph"/>
        <w:numPr>
          <w:ilvl w:val="0"/>
          <w:numId w:val="3"/>
        </w:numPr>
        <w:spacing w:before="100" w:beforeAutospacing="1" w:after="110" w:line="164" w:lineRule="atLeast"/>
        <w:jc w:val="both"/>
        <w:rPr>
          <w:rFonts w:ascii="Garamond" w:hAnsi="Garamond"/>
          <w:color w:val="000000"/>
        </w:rPr>
      </w:pPr>
      <w:r>
        <w:rPr>
          <w:rFonts w:ascii="Garamond" w:hAnsi="Garamond"/>
          <w:color w:val="000000"/>
        </w:rPr>
        <w:t>It is also of note that there are additional regulatory and supervisory implications for barristers of up to three years’ qualification. In order to have rights of audience, such barristers must have a supervisor in their office or chambers who must be registered as such and must be readily available to provide guidance to them. A practicing certificate will not be issued without this supervisory role.</w:t>
      </w:r>
    </w:p>
    <w:p w:rsidR="00D629B8" w:rsidRDefault="00D629B8" w:rsidP="00D629B8">
      <w:pPr>
        <w:pStyle w:val="ListParagraph"/>
        <w:spacing w:before="100" w:beforeAutospacing="1" w:after="110" w:line="164" w:lineRule="atLeast"/>
        <w:jc w:val="both"/>
        <w:rPr>
          <w:rFonts w:ascii="Garamond" w:hAnsi="Garamond"/>
          <w:color w:val="000000"/>
        </w:rPr>
      </w:pPr>
    </w:p>
    <w:p w:rsidR="00BA0913" w:rsidRPr="00BA0913" w:rsidRDefault="00370CA8" w:rsidP="00BA0913">
      <w:pPr>
        <w:pStyle w:val="ListParagraph"/>
        <w:numPr>
          <w:ilvl w:val="0"/>
          <w:numId w:val="3"/>
        </w:numPr>
        <w:spacing w:before="100" w:beforeAutospacing="1" w:after="110" w:line="164" w:lineRule="atLeast"/>
        <w:jc w:val="both"/>
        <w:rPr>
          <w:rFonts w:ascii="Garamond" w:hAnsi="Garamond"/>
          <w:color w:val="000000"/>
        </w:rPr>
      </w:pPr>
      <w:r>
        <w:rPr>
          <w:rFonts w:ascii="Garamond" w:hAnsi="Garamond"/>
          <w:color w:val="000000"/>
        </w:rPr>
        <w:t xml:space="preserve">In order for solicitors to obtain rights of </w:t>
      </w:r>
      <w:r w:rsidR="00A46D81">
        <w:rPr>
          <w:rFonts w:ascii="Garamond" w:hAnsi="Garamond"/>
          <w:color w:val="000000"/>
        </w:rPr>
        <w:t>audience for the Crown Court</w:t>
      </w:r>
      <w:r w:rsidR="00D629B8">
        <w:rPr>
          <w:rFonts w:ascii="Garamond" w:hAnsi="Garamond"/>
          <w:color w:val="000000"/>
        </w:rPr>
        <w:t xml:space="preserve"> (save for exempted matters including appeals and bail applications)</w:t>
      </w:r>
      <w:r w:rsidR="00A46D81">
        <w:rPr>
          <w:rFonts w:ascii="Garamond" w:hAnsi="Garamond"/>
          <w:color w:val="000000"/>
        </w:rPr>
        <w:t>,</w:t>
      </w:r>
      <w:r w:rsidR="00A46D81" w:rsidRPr="00A46D81">
        <w:rPr>
          <w:rFonts w:ascii="Garamond" w:hAnsi="Garamond"/>
          <w:color w:val="000000"/>
        </w:rPr>
        <w:t xml:space="preserve"> </w:t>
      </w:r>
      <w:r w:rsidR="00A46D81">
        <w:rPr>
          <w:rFonts w:ascii="Garamond" w:hAnsi="Garamond"/>
          <w:color w:val="000000"/>
        </w:rPr>
        <w:t>they must</w:t>
      </w:r>
      <w:r w:rsidR="00D629B8">
        <w:rPr>
          <w:rFonts w:ascii="Garamond" w:hAnsi="Garamond"/>
          <w:color w:val="000000"/>
        </w:rPr>
        <w:t xml:space="preserve"> first</w:t>
      </w:r>
      <w:r w:rsidR="00A46D81">
        <w:rPr>
          <w:rFonts w:ascii="Garamond" w:hAnsi="Garamond"/>
          <w:color w:val="000000"/>
        </w:rPr>
        <w:t xml:space="preserve"> obtain</w:t>
      </w:r>
      <w:r w:rsidR="00A46D81" w:rsidRPr="00035500">
        <w:rPr>
          <w:rFonts w:ascii="Garamond" w:hAnsi="Garamond"/>
          <w:color w:val="000000"/>
        </w:rPr>
        <w:t xml:space="preserve"> a </w:t>
      </w:r>
      <w:r w:rsidR="00A46D81">
        <w:rPr>
          <w:rFonts w:ascii="Garamond" w:hAnsi="Garamond"/>
          <w:color w:val="000000"/>
        </w:rPr>
        <w:t xml:space="preserve">higher rights </w:t>
      </w:r>
      <w:r w:rsidR="00A46D81" w:rsidRPr="00035500">
        <w:rPr>
          <w:rFonts w:ascii="Garamond" w:hAnsi="Garamond"/>
          <w:color w:val="000000"/>
        </w:rPr>
        <w:t xml:space="preserve">qualification </w:t>
      </w:r>
      <w:r w:rsidR="00A46D81">
        <w:rPr>
          <w:rFonts w:ascii="Garamond" w:hAnsi="Garamond"/>
          <w:color w:val="000000"/>
        </w:rPr>
        <w:t xml:space="preserve">and </w:t>
      </w:r>
      <w:r w:rsidR="00A46D81" w:rsidRPr="00035500">
        <w:rPr>
          <w:rFonts w:ascii="Garamond" w:hAnsi="Garamond"/>
          <w:color w:val="000000"/>
        </w:rPr>
        <w:t>are required to demonstrate that they are competent to undertake advocacy by successfully completing assessments prescribed by the authority, or by gaining an equivalent qualificati</w:t>
      </w:r>
      <w:r w:rsidR="00A46D81">
        <w:rPr>
          <w:rFonts w:ascii="Garamond" w:hAnsi="Garamond"/>
          <w:color w:val="000000"/>
        </w:rPr>
        <w:t>on in a comparable jurisdiction. Only in such circumstances will they obtain rights of audience in the Crown Court and higher courts.</w:t>
      </w:r>
      <w:r w:rsidR="00D629B8">
        <w:rPr>
          <w:rFonts w:ascii="Garamond" w:hAnsi="Garamond"/>
          <w:color w:val="000000"/>
        </w:rPr>
        <w:t xml:space="preserve"> Only such solicitors on the roll will an approved regulator by the meaning of the 2007 act. Such solicitors must be appropriately insured and have complied with their CPD requirements. </w:t>
      </w:r>
    </w:p>
    <w:p w:rsidR="00BA0913" w:rsidRDefault="00BA0913" w:rsidP="00BA0913">
      <w:pPr>
        <w:pStyle w:val="ListParagraph"/>
        <w:spacing w:before="100" w:beforeAutospacing="1" w:after="110" w:line="164" w:lineRule="atLeast"/>
        <w:jc w:val="both"/>
        <w:rPr>
          <w:rFonts w:ascii="Garamond" w:hAnsi="Garamond"/>
          <w:color w:val="000000"/>
        </w:rPr>
      </w:pPr>
    </w:p>
    <w:p w:rsidR="00BA0913" w:rsidRPr="00646A2D" w:rsidRDefault="00BA0913" w:rsidP="00646A2D">
      <w:pPr>
        <w:pStyle w:val="ListParagraph"/>
        <w:numPr>
          <w:ilvl w:val="0"/>
          <w:numId w:val="3"/>
        </w:numPr>
        <w:spacing w:before="100" w:beforeAutospacing="1" w:after="110" w:line="164" w:lineRule="atLeast"/>
        <w:jc w:val="both"/>
        <w:rPr>
          <w:rFonts w:ascii="Garamond" w:hAnsi="Garamond"/>
          <w:color w:val="000000"/>
        </w:rPr>
      </w:pPr>
      <w:proofErr w:type="spellStart"/>
      <w:r>
        <w:rPr>
          <w:rFonts w:ascii="Garamond" w:hAnsi="Garamond"/>
          <w:color w:val="000000"/>
        </w:rPr>
        <w:t>CiLex</w:t>
      </w:r>
      <w:proofErr w:type="spellEnd"/>
      <w:r>
        <w:rPr>
          <w:rFonts w:ascii="Garamond" w:hAnsi="Garamond"/>
          <w:color w:val="000000"/>
        </w:rPr>
        <w:t xml:space="preserve"> legal executives can obtain extended rights of audience with the relevant qualifications. However, they are unable to apply for higher rights</w:t>
      </w:r>
      <w:r w:rsidR="00B86545">
        <w:rPr>
          <w:rFonts w:ascii="Garamond" w:hAnsi="Garamond"/>
          <w:color w:val="000000"/>
        </w:rPr>
        <w:t xml:space="preserve"> to practice in the Crown Court and higher courts</w:t>
      </w:r>
      <w:r w:rsidR="00D629B8">
        <w:rPr>
          <w:rFonts w:ascii="Garamond" w:hAnsi="Garamond"/>
          <w:color w:val="000000"/>
        </w:rPr>
        <w:t xml:space="preserve"> save for in appeals and bail applications</w:t>
      </w:r>
      <w:r>
        <w:rPr>
          <w:rFonts w:ascii="Garamond" w:hAnsi="Garamond"/>
          <w:color w:val="000000"/>
        </w:rPr>
        <w:t>. This distinguishes them from qualified sol</w:t>
      </w:r>
      <w:r w:rsidR="00D629B8">
        <w:rPr>
          <w:rFonts w:ascii="Garamond" w:hAnsi="Garamond"/>
          <w:color w:val="000000"/>
        </w:rPr>
        <w:t>icitors who are able to obtain higher rights.</w:t>
      </w:r>
    </w:p>
    <w:p w:rsidR="00646A2D" w:rsidRDefault="00646A2D" w:rsidP="00646A2D">
      <w:pPr>
        <w:pStyle w:val="ListParagraph"/>
        <w:keepNext/>
        <w:spacing w:before="220" w:after="220" w:line="164" w:lineRule="atLeast"/>
        <w:rPr>
          <w:rFonts w:ascii="Garamond" w:hAnsi="Garamond"/>
          <w:bCs/>
          <w:color w:val="000000"/>
        </w:rPr>
      </w:pPr>
    </w:p>
    <w:p w:rsidR="00646A2D" w:rsidRPr="00BC5BF2" w:rsidRDefault="00646A2D" w:rsidP="00646A2D">
      <w:pPr>
        <w:pStyle w:val="ListParagraph"/>
        <w:keepNext/>
        <w:numPr>
          <w:ilvl w:val="0"/>
          <w:numId w:val="3"/>
        </w:numPr>
        <w:spacing w:before="220" w:after="220" w:line="164" w:lineRule="atLeast"/>
        <w:rPr>
          <w:rFonts w:ascii="Garamond" w:hAnsi="Garamond"/>
          <w:bCs/>
          <w:color w:val="000000"/>
        </w:rPr>
      </w:pPr>
      <w:r>
        <w:rPr>
          <w:rFonts w:ascii="Garamond" w:hAnsi="Garamond"/>
          <w:color w:val="000000"/>
        </w:rPr>
        <w:t>Sectio</w:t>
      </w:r>
      <w:r w:rsidR="00B04943">
        <w:rPr>
          <w:rFonts w:ascii="Garamond" w:hAnsi="Garamond"/>
          <w:color w:val="000000"/>
        </w:rPr>
        <w:t>n</w:t>
      </w:r>
      <w:r>
        <w:rPr>
          <w:rFonts w:ascii="Garamond" w:hAnsi="Garamond"/>
          <w:color w:val="000000"/>
        </w:rPr>
        <w:t xml:space="preserve"> 14(1) confirms that c</w:t>
      </w:r>
      <w:r w:rsidRPr="00035500">
        <w:rPr>
          <w:rFonts w:ascii="Garamond" w:hAnsi="Garamond"/>
          <w:color w:val="000000"/>
        </w:rPr>
        <w:t>arrying on a reserved legal activity without being entitled to do so is an either-way offence, punishable on conviction on indictment, with imprisonment for a term not exceeding tw</w:t>
      </w:r>
      <w:r>
        <w:rPr>
          <w:rFonts w:ascii="Garamond" w:hAnsi="Garamond"/>
          <w:color w:val="000000"/>
        </w:rPr>
        <w:t>o years or a fine (or both).</w:t>
      </w:r>
    </w:p>
    <w:p w:rsidR="00646A2D" w:rsidRDefault="00646A2D" w:rsidP="00646A2D">
      <w:pPr>
        <w:keepNext/>
        <w:spacing w:before="220" w:after="220" w:line="164" w:lineRule="atLeast"/>
        <w:rPr>
          <w:rFonts w:ascii="Garamond" w:hAnsi="Garamond"/>
          <w:bCs/>
          <w:i/>
          <w:color w:val="000000"/>
        </w:rPr>
      </w:pPr>
      <w:r>
        <w:rPr>
          <w:rFonts w:ascii="Garamond" w:hAnsi="Garamond"/>
          <w:bCs/>
          <w:i/>
          <w:color w:val="000000"/>
        </w:rPr>
        <w:t>Exceptional Discretion to grant rights of audience</w:t>
      </w:r>
    </w:p>
    <w:p w:rsidR="00646A2D" w:rsidRPr="00D629B8" w:rsidRDefault="005D5F07" w:rsidP="00646A2D">
      <w:pPr>
        <w:pStyle w:val="ListParagraph"/>
        <w:keepNext/>
        <w:numPr>
          <w:ilvl w:val="0"/>
          <w:numId w:val="3"/>
        </w:numPr>
        <w:spacing w:before="220" w:after="220" w:line="164" w:lineRule="atLeast"/>
        <w:rPr>
          <w:rFonts w:ascii="Garamond" w:hAnsi="Garamond"/>
          <w:bCs/>
          <w:color w:val="000000"/>
        </w:rPr>
      </w:pPr>
      <w:r w:rsidRPr="00D7233A">
        <w:rPr>
          <w:rFonts w:ascii="Garamond" w:hAnsi="Garamond"/>
          <w:color w:val="000000"/>
        </w:rPr>
        <w:t>The inherent jurisdiction</w:t>
      </w:r>
      <w:r>
        <w:rPr>
          <w:rFonts w:ascii="Garamond" w:hAnsi="Garamond"/>
          <w:color w:val="000000"/>
        </w:rPr>
        <w:t xml:space="preserve"> for a court to grant rights of audience</w:t>
      </w:r>
      <w:r w:rsidRPr="00D7233A">
        <w:rPr>
          <w:rFonts w:ascii="Garamond" w:hAnsi="Garamond"/>
          <w:color w:val="000000"/>
        </w:rPr>
        <w:t xml:space="preserve"> is preserved under Legal Services Act 2</w:t>
      </w:r>
      <w:r>
        <w:rPr>
          <w:rFonts w:ascii="Garamond" w:hAnsi="Garamond"/>
          <w:color w:val="000000"/>
        </w:rPr>
        <w:t xml:space="preserve">007, schedule 3, paragraph 1(2). </w:t>
      </w:r>
    </w:p>
    <w:p w:rsidR="00D629B8" w:rsidRPr="00D629B8" w:rsidRDefault="00D629B8" w:rsidP="00D629B8">
      <w:pPr>
        <w:pStyle w:val="ListParagraph"/>
        <w:keepNext/>
        <w:spacing w:before="220" w:after="220" w:line="164" w:lineRule="atLeast"/>
        <w:rPr>
          <w:rFonts w:ascii="Garamond" w:hAnsi="Garamond"/>
          <w:bCs/>
          <w:color w:val="000000"/>
        </w:rPr>
      </w:pPr>
    </w:p>
    <w:p w:rsidR="00D629B8" w:rsidRPr="005D5F07" w:rsidRDefault="00D629B8" w:rsidP="00646A2D">
      <w:pPr>
        <w:pStyle w:val="ListParagraph"/>
        <w:keepNext/>
        <w:numPr>
          <w:ilvl w:val="0"/>
          <w:numId w:val="3"/>
        </w:numPr>
        <w:spacing w:before="220" w:after="220" w:line="164" w:lineRule="atLeast"/>
        <w:rPr>
          <w:rFonts w:ascii="Garamond" w:hAnsi="Garamond"/>
          <w:bCs/>
          <w:color w:val="000000"/>
        </w:rPr>
      </w:pPr>
      <w:r>
        <w:rPr>
          <w:rFonts w:ascii="Garamond" w:hAnsi="Garamond"/>
          <w:bCs/>
          <w:color w:val="000000"/>
        </w:rPr>
        <w:t xml:space="preserve">The requirements and exemptions contained within the Legal Services Act 2007 are detailed. </w:t>
      </w:r>
      <w:r w:rsidR="001E260A">
        <w:rPr>
          <w:rFonts w:ascii="Garamond" w:hAnsi="Garamond"/>
          <w:bCs/>
          <w:color w:val="000000"/>
        </w:rPr>
        <w:t xml:space="preserve">We submit that from the content of the statute </w:t>
      </w:r>
      <w:proofErr w:type="gramStart"/>
      <w:r w:rsidR="001E260A">
        <w:rPr>
          <w:rFonts w:ascii="Garamond" w:hAnsi="Garamond"/>
          <w:bCs/>
          <w:color w:val="000000"/>
        </w:rPr>
        <w:t>it  is</w:t>
      </w:r>
      <w:proofErr w:type="gramEnd"/>
      <w:r w:rsidR="001E260A">
        <w:rPr>
          <w:rFonts w:ascii="Garamond" w:hAnsi="Garamond"/>
          <w:bCs/>
          <w:color w:val="000000"/>
        </w:rPr>
        <w:t xml:space="preserve"> clear that the discretion is a residual one that should operate on a narrow basis.</w:t>
      </w:r>
    </w:p>
    <w:p w:rsidR="005D5F07" w:rsidRPr="005D5F07" w:rsidRDefault="005D5F07" w:rsidP="005D5F07">
      <w:pPr>
        <w:pStyle w:val="ListParagraph"/>
        <w:keepNext/>
        <w:spacing w:before="220" w:after="220" w:line="164" w:lineRule="atLeast"/>
        <w:rPr>
          <w:rFonts w:ascii="Garamond" w:hAnsi="Garamond"/>
          <w:bCs/>
          <w:color w:val="000000"/>
        </w:rPr>
      </w:pPr>
    </w:p>
    <w:p w:rsidR="001E260A" w:rsidRPr="001E260A" w:rsidRDefault="00D7382E" w:rsidP="001E260A">
      <w:pPr>
        <w:pStyle w:val="ListParagraph"/>
        <w:keepNext/>
        <w:numPr>
          <w:ilvl w:val="0"/>
          <w:numId w:val="3"/>
        </w:numPr>
        <w:spacing w:before="220" w:after="220" w:line="164" w:lineRule="atLeast"/>
        <w:rPr>
          <w:rFonts w:ascii="Garamond" w:hAnsi="Garamond"/>
          <w:bCs/>
          <w:color w:val="000000"/>
        </w:rPr>
      </w:pPr>
      <w:r>
        <w:rPr>
          <w:rFonts w:ascii="Garamond" w:hAnsi="Garamond"/>
          <w:bCs/>
          <w:color w:val="000000"/>
        </w:rPr>
        <w:t>Consideration has been given to</w:t>
      </w:r>
      <w:r w:rsidR="005D5F07">
        <w:rPr>
          <w:rFonts w:ascii="Garamond" w:hAnsi="Garamond"/>
          <w:bCs/>
          <w:color w:val="000000"/>
        </w:rPr>
        <w:t xml:space="preserve"> when such a residual</w:t>
      </w:r>
      <w:r>
        <w:rPr>
          <w:rFonts w:ascii="Garamond" w:hAnsi="Garamond"/>
          <w:bCs/>
          <w:color w:val="000000"/>
        </w:rPr>
        <w:t xml:space="preserve"> discretion should be used both by way of case</w:t>
      </w:r>
      <w:r w:rsidR="00D715F7">
        <w:rPr>
          <w:rFonts w:ascii="Garamond" w:hAnsi="Garamond"/>
          <w:bCs/>
          <w:color w:val="000000"/>
        </w:rPr>
        <w:t xml:space="preserve"> law and court-</w:t>
      </w:r>
      <w:r>
        <w:rPr>
          <w:rFonts w:ascii="Garamond" w:hAnsi="Garamond"/>
          <w:bCs/>
          <w:color w:val="000000"/>
        </w:rPr>
        <w:t>issue</w:t>
      </w:r>
      <w:r w:rsidR="00D715F7">
        <w:rPr>
          <w:rFonts w:ascii="Garamond" w:hAnsi="Garamond"/>
          <w:bCs/>
          <w:color w:val="000000"/>
        </w:rPr>
        <w:t>d</w:t>
      </w:r>
      <w:r>
        <w:rPr>
          <w:rFonts w:ascii="Garamond" w:hAnsi="Garamond"/>
          <w:bCs/>
          <w:color w:val="000000"/>
        </w:rPr>
        <w:t xml:space="preserve"> guidance. In February 2016, in a consultation document issued by the Lord Chief Justice</w:t>
      </w:r>
      <w:r w:rsidR="00D715F7">
        <w:rPr>
          <w:rStyle w:val="FootnoteReference"/>
          <w:rFonts w:ascii="Garamond" w:hAnsi="Garamond"/>
          <w:bCs/>
          <w:color w:val="000000"/>
        </w:rPr>
        <w:footnoteReference w:id="1"/>
      </w:r>
      <w:r>
        <w:rPr>
          <w:rFonts w:ascii="Garamond" w:hAnsi="Garamond"/>
          <w:bCs/>
          <w:color w:val="000000"/>
        </w:rPr>
        <w:t xml:space="preserve"> in relation to </w:t>
      </w:r>
      <w:proofErr w:type="spellStart"/>
      <w:r>
        <w:rPr>
          <w:rFonts w:ascii="Garamond" w:hAnsi="Garamond"/>
          <w:bCs/>
          <w:color w:val="000000"/>
        </w:rPr>
        <w:t>Mckenzie</w:t>
      </w:r>
      <w:proofErr w:type="spellEnd"/>
      <w:r>
        <w:rPr>
          <w:rFonts w:ascii="Garamond" w:hAnsi="Garamond"/>
          <w:bCs/>
          <w:color w:val="000000"/>
        </w:rPr>
        <w:t xml:space="preserve"> friends, the issue of granting rights of audience is dealt with. </w:t>
      </w:r>
      <w:r w:rsidR="00A46D81">
        <w:rPr>
          <w:rFonts w:ascii="Garamond" w:hAnsi="Garamond"/>
          <w:bCs/>
          <w:color w:val="000000"/>
        </w:rPr>
        <w:t>In this document, t</w:t>
      </w:r>
      <w:r>
        <w:rPr>
          <w:rFonts w:ascii="Garamond" w:hAnsi="Garamond"/>
          <w:bCs/>
          <w:color w:val="000000"/>
        </w:rPr>
        <w:t>he LCJ confirms it should be used on a case by case basis</w:t>
      </w:r>
      <w:r w:rsidR="00D715F7">
        <w:rPr>
          <w:rFonts w:ascii="Garamond" w:hAnsi="Garamond"/>
          <w:bCs/>
          <w:color w:val="000000"/>
        </w:rPr>
        <w:t xml:space="preserve">. </w:t>
      </w:r>
    </w:p>
    <w:p w:rsidR="001E260A" w:rsidRDefault="001E260A" w:rsidP="001E260A">
      <w:pPr>
        <w:pStyle w:val="ListParagraph"/>
        <w:keepNext/>
        <w:spacing w:before="220" w:after="220" w:line="164" w:lineRule="atLeast"/>
        <w:rPr>
          <w:rFonts w:ascii="Garamond" w:hAnsi="Garamond"/>
          <w:bCs/>
          <w:color w:val="000000"/>
        </w:rPr>
      </w:pPr>
    </w:p>
    <w:p w:rsidR="00BE7206" w:rsidRPr="00BE7206" w:rsidRDefault="00BC5BF2" w:rsidP="00BE7206">
      <w:pPr>
        <w:pStyle w:val="ListParagraph"/>
        <w:keepNext/>
        <w:numPr>
          <w:ilvl w:val="0"/>
          <w:numId w:val="3"/>
        </w:numPr>
        <w:spacing w:before="220" w:after="220" w:line="164" w:lineRule="atLeast"/>
        <w:rPr>
          <w:rFonts w:ascii="Garamond" w:hAnsi="Garamond"/>
          <w:bCs/>
          <w:color w:val="000000"/>
        </w:rPr>
      </w:pPr>
      <w:r>
        <w:rPr>
          <w:rFonts w:ascii="Garamond" w:hAnsi="Garamond"/>
          <w:bCs/>
          <w:color w:val="000000"/>
        </w:rPr>
        <w:t>There are a number of cases which confirm the power should be exercised on a case by case basis (</w:t>
      </w:r>
      <w:proofErr w:type="spellStart"/>
      <w:r>
        <w:rPr>
          <w:rFonts w:ascii="Garamond" w:hAnsi="Garamond"/>
          <w:bCs/>
          <w:color w:val="000000"/>
        </w:rPr>
        <w:t>eg</w:t>
      </w:r>
      <w:proofErr w:type="spellEnd"/>
      <w:r>
        <w:rPr>
          <w:rFonts w:ascii="Garamond" w:hAnsi="Garamond"/>
          <w:bCs/>
          <w:color w:val="000000"/>
        </w:rPr>
        <w:t xml:space="preserve"> </w:t>
      </w:r>
      <w:r>
        <w:rPr>
          <w:rFonts w:ascii="Garamond" w:hAnsi="Garamond"/>
          <w:bCs/>
          <w:i/>
          <w:color w:val="000000"/>
        </w:rPr>
        <w:t>D v S (Rights of Audience)</w:t>
      </w:r>
      <w:r>
        <w:rPr>
          <w:rFonts w:ascii="Garamond" w:hAnsi="Garamond"/>
          <w:bCs/>
          <w:color w:val="000000"/>
        </w:rPr>
        <w:t xml:space="preserve"> [1997] 1 FLR 724</w:t>
      </w:r>
      <w:r w:rsidR="004B100A">
        <w:rPr>
          <w:rFonts w:ascii="Garamond" w:hAnsi="Garamond"/>
          <w:bCs/>
          <w:color w:val="000000"/>
        </w:rPr>
        <w:t>, based on the mirror provisions of the 1990 Act</w:t>
      </w:r>
      <w:r w:rsidR="007671B5">
        <w:rPr>
          <w:rFonts w:ascii="Garamond" w:hAnsi="Garamond"/>
          <w:bCs/>
          <w:color w:val="000000"/>
        </w:rPr>
        <w:t xml:space="preserve">; </w:t>
      </w:r>
      <w:r w:rsidR="007671B5" w:rsidRPr="00D7233A">
        <w:rPr>
          <w:rFonts w:ascii="Garamond" w:hAnsi="Garamond"/>
          <w:i/>
          <w:iCs/>
          <w:color w:val="000000"/>
        </w:rPr>
        <w:t xml:space="preserve">Paragon Finance plc v </w:t>
      </w:r>
      <w:proofErr w:type="spellStart"/>
      <w:r w:rsidR="007671B5" w:rsidRPr="00D7233A">
        <w:rPr>
          <w:rFonts w:ascii="Garamond" w:hAnsi="Garamond"/>
          <w:i/>
          <w:iCs/>
          <w:color w:val="000000"/>
        </w:rPr>
        <w:t>Noueiri</w:t>
      </w:r>
      <w:proofErr w:type="spellEnd"/>
      <w:r w:rsidR="007671B5" w:rsidRPr="00D7233A">
        <w:rPr>
          <w:rFonts w:ascii="Garamond" w:hAnsi="Garamond"/>
          <w:i/>
          <w:iCs/>
          <w:color w:val="000000"/>
        </w:rPr>
        <w:t xml:space="preserve"> </w:t>
      </w:r>
      <w:r w:rsidR="007671B5" w:rsidRPr="00D7233A">
        <w:rPr>
          <w:rFonts w:ascii="Garamond" w:hAnsi="Garamond"/>
          <w:color w:val="000000"/>
        </w:rPr>
        <w:t>[2001] 1 WLR 2357 at 2368ff</w:t>
      </w:r>
      <w:r>
        <w:rPr>
          <w:rFonts w:ascii="Garamond" w:hAnsi="Garamond"/>
          <w:bCs/>
          <w:color w:val="000000"/>
        </w:rPr>
        <w:t>)</w:t>
      </w:r>
      <w:r w:rsidR="004B100A">
        <w:rPr>
          <w:rFonts w:ascii="Garamond" w:hAnsi="Garamond"/>
          <w:bCs/>
          <w:color w:val="000000"/>
        </w:rPr>
        <w:t>. T</w:t>
      </w:r>
      <w:r w:rsidR="001E260A">
        <w:rPr>
          <w:rFonts w:ascii="Garamond" w:hAnsi="Garamond"/>
          <w:bCs/>
          <w:color w:val="000000"/>
        </w:rPr>
        <w:t>hese cases make clear that the residual discretion is</w:t>
      </w:r>
      <w:r w:rsidR="004B100A">
        <w:rPr>
          <w:rFonts w:ascii="Garamond" w:hAnsi="Garamond"/>
          <w:bCs/>
          <w:color w:val="000000"/>
        </w:rPr>
        <w:t xml:space="preserve"> not a way of granting rights of audience generally. </w:t>
      </w:r>
      <w:r w:rsidR="001E260A">
        <w:rPr>
          <w:rFonts w:ascii="Garamond" w:hAnsi="Garamond"/>
          <w:bCs/>
          <w:color w:val="000000"/>
        </w:rPr>
        <w:t>The 2007 act is</w:t>
      </w:r>
      <w:r w:rsidR="004B100A">
        <w:rPr>
          <w:rFonts w:ascii="Garamond" w:hAnsi="Garamond"/>
          <w:bCs/>
          <w:color w:val="000000"/>
        </w:rPr>
        <w:t xml:space="preserve"> designed with a view to maintaining the proper and efficient administration of justice by ensuring those that appear in the courts are properly qualified and regulated to do so. The discretionary power is therefore a limited one. </w:t>
      </w:r>
    </w:p>
    <w:p w:rsidR="00BE7206" w:rsidRDefault="00BE7206" w:rsidP="00BE7206">
      <w:pPr>
        <w:pStyle w:val="ListParagraph"/>
        <w:keepNext/>
        <w:spacing w:before="220" w:after="220" w:line="164" w:lineRule="atLeast"/>
        <w:rPr>
          <w:rFonts w:ascii="Garamond" w:hAnsi="Garamond"/>
          <w:bCs/>
          <w:color w:val="000000"/>
        </w:rPr>
      </w:pPr>
    </w:p>
    <w:p w:rsidR="00BE7206" w:rsidRPr="001E260A" w:rsidRDefault="00BE7206" w:rsidP="001E260A">
      <w:pPr>
        <w:pStyle w:val="ListParagraph"/>
        <w:keepNext/>
        <w:numPr>
          <w:ilvl w:val="0"/>
          <w:numId w:val="3"/>
        </w:numPr>
        <w:spacing w:before="220" w:after="220" w:line="164" w:lineRule="atLeast"/>
        <w:rPr>
          <w:rFonts w:ascii="Garamond" w:hAnsi="Garamond"/>
          <w:bCs/>
          <w:color w:val="000000"/>
        </w:rPr>
      </w:pPr>
      <w:proofErr w:type="spellStart"/>
      <w:r>
        <w:rPr>
          <w:rFonts w:ascii="Garamond" w:hAnsi="Garamond"/>
          <w:bCs/>
          <w:color w:val="000000"/>
        </w:rPr>
        <w:t>Munslow</w:t>
      </w:r>
      <w:proofErr w:type="spellEnd"/>
      <w:r>
        <w:rPr>
          <w:rFonts w:ascii="Garamond" w:hAnsi="Garamond"/>
          <w:bCs/>
          <w:color w:val="000000"/>
        </w:rPr>
        <w:t xml:space="preserve"> </w:t>
      </w:r>
      <w:proofErr w:type="spellStart"/>
      <w:r>
        <w:rPr>
          <w:rFonts w:ascii="Garamond" w:hAnsi="Garamond"/>
          <w:bCs/>
          <w:color w:val="000000"/>
        </w:rPr>
        <w:t>Messias</w:t>
      </w:r>
      <w:proofErr w:type="spellEnd"/>
      <w:r>
        <w:rPr>
          <w:rFonts w:ascii="Garamond" w:hAnsi="Garamond"/>
          <w:bCs/>
          <w:color w:val="000000"/>
        </w:rPr>
        <w:t xml:space="preserve"> v </w:t>
      </w:r>
      <w:proofErr w:type="spellStart"/>
      <w:r>
        <w:rPr>
          <w:rFonts w:ascii="Garamond" w:hAnsi="Garamond"/>
          <w:bCs/>
          <w:color w:val="000000"/>
        </w:rPr>
        <w:t>Mullarkey</w:t>
      </w:r>
      <w:proofErr w:type="spellEnd"/>
      <w:r>
        <w:rPr>
          <w:rFonts w:ascii="Garamond" w:hAnsi="Garamond"/>
          <w:bCs/>
          <w:color w:val="000000"/>
        </w:rPr>
        <w:t xml:space="preserve"> [2003] EWHC 2600 (Ch) also deals with the fact that it would not be appropriate to grant rights of audience on a blanket basis for the entire proceedings and that instead the granting of rights of audience will have to be dealt with throughout the proceedings. </w:t>
      </w:r>
    </w:p>
    <w:p w:rsidR="001E260A" w:rsidRPr="001E260A" w:rsidRDefault="001E260A" w:rsidP="001E260A">
      <w:pPr>
        <w:pStyle w:val="ListParagraph"/>
        <w:keepNext/>
        <w:spacing w:before="220" w:after="220" w:line="164" w:lineRule="atLeast"/>
        <w:rPr>
          <w:rFonts w:ascii="Garamond" w:hAnsi="Garamond"/>
          <w:bCs/>
          <w:color w:val="000000"/>
        </w:rPr>
      </w:pPr>
    </w:p>
    <w:p w:rsidR="00D7382E" w:rsidRPr="007671B5" w:rsidRDefault="004B100A" w:rsidP="002C0683">
      <w:pPr>
        <w:pStyle w:val="ListParagraph"/>
        <w:keepNext/>
        <w:numPr>
          <w:ilvl w:val="0"/>
          <w:numId w:val="3"/>
        </w:numPr>
        <w:spacing w:before="220" w:after="220" w:line="164" w:lineRule="atLeast"/>
        <w:rPr>
          <w:rFonts w:ascii="Garamond" w:hAnsi="Garamond"/>
          <w:bCs/>
          <w:color w:val="000000"/>
        </w:rPr>
      </w:pPr>
      <w:r>
        <w:rPr>
          <w:rFonts w:ascii="Garamond" w:hAnsi="Garamond"/>
          <w:bCs/>
          <w:i/>
          <w:color w:val="000000"/>
        </w:rPr>
        <w:t>D v S</w:t>
      </w:r>
      <w:r>
        <w:rPr>
          <w:rFonts w:ascii="Garamond" w:hAnsi="Garamond"/>
          <w:bCs/>
          <w:color w:val="000000"/>
        </w:rPr>
        <w:t xml:space="preserve"> is a case relating to an unqualified person. However, Lord Woolf MR highlighted the stringent requirements as to training and conduct on those obtaining rights of audience and described it as being “monstrously inappropriate” and out of spirit with the 1990 act to grant rights of audience to unqualified persons</w:t>
      </w:r>
      <w:r w:rsidR="00A92968">
        <w:rPr>
          <w:rFonts w:ascii="Garamond" w:hAnsi="Garamond"/>
          <w:bCs/>
          <w:color w:val="000000"/>
        </w:rPr>
        <w:t xml:space="preserve">. He said the power should be used in exceptional circumstances when considering </w:t>
      </w:r>
      <w:r w:rsidR="00A92968">
        <w:rPr>
          <w:rFonts w:ascii="Garamond" w:hAnsi="Garamond"/>
          <w:bCs/>
          <w:i/>
          <w:color w:val="000000"/>
        </w:rPr>
        <w:t>D v S</w:t>
      </w:r>
      <w:r>
        <w:rPr>
          <w:rFonts w:ascii="Garamond" w:hAnsi="Garamond"/>
          <w:bCs/>
          <w:color w:val="000000"/>
        </w:rPr>
        <w:t xml:space="preserve">. </w:t>
      </w:r>
      <w:r w:rsidR="007671B5">
        <w:rPr>
          <w:rFonts w:ascii="Garamond" w:hAnsi="Garamond"/>
          <w:bCs/>
          <w:color w:val="000000"/>
        </w:rPr>
        <w:t>This applies equally to the 2007 act which in fact lays out more stringent requirements for individuals obtaining rights of audience. The statutory regime has made clear that there will be stringent requirements governing rights of audience. The comprehensive nature of the statute is supportive of the discretion being a residual and narrow one.</w:t>
      </w:r>
      <w:r w:rsidR="00A92968">
        <w:rPr>
          <w:rFonts w:ascii="Garamond" w:hAnsi="Garamond"/>
          <w:bCs/>
          <w:color w:val="000000"/>
        </w:rPr>
        <w:t xml:space="preserve"> Whilst the bulk of the case law relates to </w:t>
      </w:r>
      <w:proofErr w:type="spellStart"/>
      <w:r w:rsidR="00A92968">
        <w:rPr>
          <w:rFonts w:ascii="Garamond" w:hAnsi="Garamond"/>
          <w:bCs/>
          <w:color w:val="000000"/>
        </w:rPr>
        <w:t>Mckenzie</w:t>
      </w:r>
      <w:proofErr w:type="spellEnd"/>
      <w:r w:rsidR="00A92968">
        <w:rPr>
          <w:rFonts w:ascii="Garamond" w:hAnsi="Garamond"/>
          <w:bCs/>
          <w:color w:val="000000"/>
        </w:rPr>
        <w:t xml:space="preserve"> friends and unqualified advocates, a number of the principles relating to the residual discretion and its exceptional use apply. </w:t>
      </w:r>
    </w:p>
    <w:p w:rsidR="00840A37" w:rsidRPr="00D7233A" w:rsidRDefault="00D7233A" w:rsidP="0045357C">
      <w:pPr>
        <w:keepNext/>
        <w:spacing w:before="220" w:after="220" w:line="164" w:lineRule="atLeast"/>
        <w:rPr>
          <w:rFonts w:ascii="Garamond" w:hAnsi="Garamond"/>
          <w:bCs/>
          <w:color w:val="000000"/>
          <w:u w:val="single"/>
        </w:rPr>
      </w:pPr>
      <w:r w:rsidRPr="00D7233A">
        <w:rPr>
          <w:rFonts w:ascii="Garamond" w:hAnsi="Garamond"/>
          <w:bCs/>
          <w:color w:val="000000"/>
          <w:u w:val="single"/>
        </w:rPr>
        <w:t>Compulsory Insurance</w:t>
      </w:r>
    </w:p>
    <w:p w:rsidR="00A211F6" w:rsidRPr="00646A2D" w:rsidRDefault="00D7233A" w:rsidP="00646A2D">
      <w:pPr>
        <w:pStyle w:val="ListParagraph"/>
        <w:keepNext/>
        <w:numPr>
          <w:ilvl w:val="0"/>
          <w:numId w:val="3"/>
        </w:numPr>
        <w:spacing w:before="220" w:after="220" w:line="164" w:lineRule="atLeast"/>
        <w:rPr>
          <w:rFonts w:ascii="Garamond" w:hAnsi="Garamond"/>
          <w:bCs/>
          <w:color w:val="000000"/>
        </w:rPr>
      </w:pPr>
      <w:r w:rsidRPr="00646A2D">
        <w:rPr>
          <w:rFonts w:ascii="Garamond" w:hAnsi="Garamond"/>
          <w:bCs/>
          <w:color w:val="000000"/>
        </w:rPr>
        <w:lastRenderedPageBreak/>
        <w:t xml:space="preserve">As all will be aware, all advocates must have professional indemnity insurance in order to </w:t>
      </w:r>
      <w:proofErr w:type="spellStart"/>
      <w:r w:rsidRPr="00646A2D">
        <w:rPr>
          <w:rFonts w:ascii="Garamond" w:hAnsi="Garamond"/>
          <w:bCs/>
          <w:color w:val="000000"/>
        </w:rPr>
        <w:t>practise</w:t>
      </w:r>
      <w:proofErr w:type="spellEnd"/>
      <w:r w:rsidRPr="00646A2D">
        <w:rPr>
          <w:rFonts w:ascii="Garamond" w:hAnsi="Garamond"/>
          <w:bCs/>
          <w:color w:val="000000"/>
        </w:rPr>
        <w:t xml:space="preserve"> lawfully. A minimum level of cover is set by the BSB</w:t>
      </w:r>
      <w:r w:rsidR="002E6990" w:rsidRPr="00646A2D">
        <w:rPr>
          <w:rFonts w:ascii="Garamond" w:hAnsi="Garamond"/>
          <w:bCs/>
          <w:color w:val="000000"/>
        </w:rPr>
        <w:t xml:space="preserve"> in order for barristers to lawfully </w:t>
      </w:r>
      <w:r w:rsidR="00A211F6" w:rsidRPr="00646A2D">
        <w:rPr>
          <w:rFonts w:ascii="Garamond" w:hAnsi="Garamond"/>
          <w:bCs/>
          <w:color w:val="000000"/>
        </w:rPr>
        <w:t>deal with in-court advocacy.</w:t>
      </w:r>
      <w:r w:rsidR="00B82E04">
        <w:rPr>
          <w:rFonts w:ascii="Garamond" w:hAnsi="Garamond"/>
          <w:bCs/>
          <w:color w:val="000000"/>
        </w:rPr>
        <w:t xml:space="preserve"> </w:t>
      </w:r>
    </w:p>
    <w:p w:rsidR="00A211F6" w:rsidRDefault="00A211F6" w:rsidP="00A211F6">
      <w:pPr>
        <w:pStyle w:val="ListParagraph"/>
        <w:keepNext/>
        <w:spacing w:before="220" w:after="220" w:line="164" w:lineRule="atLeast"/>
        <w:rPr>
          <w:rFonts w:ascii="Garamond" w:hAnsi="Garamond"/>
          <w:bCs/>
          <w:color w:val="000000"/>
        </w:rPr>
      </w:pPr>
    </w:p>
    <w:p w:rsidR="00A211F6" w:rsidRPr="00A211F6" w:rsidRDefault="00A211F6" w:rsidP="00646A2D">
      <w:pPr>
        <w:pStyle w:val="ListParagraph"/>
        <w:keepNext/>
        <w:numPr>
          <w:ilvl w:val="0"/>
          <w:numId w:val="3"/>
        </w:numPr>
        <w:spacing w:before="220" w:after="220" w:line="164" w:lineRule="atLeast"/>
        <w:rPr>
          <w:rFonts w:ascii="Garamond" w:hAnsi="Garamond"/>
          <w:bCs/>
          <w:color w:val="000000"/>
        </w:rPr>
      </w:pPr>
      <w:r>
        <w:rPr>
          <w:rFonts w:ascii="Garamond" w:hAnsi="Garamond"/>
          <w:bCs/>
          <w:color w:val="000000"/>
        </w:rPr>
        <w:t xml:space="preserve">BSB guidance makes clear that any failure to have valid insurance invalidates the </w:t>
      </w:r>
      <w:proofErr w:type="spellStart"/>
      <w:r>
        <w:rPr>
          <w:rFonts w:ascii="Garamond" w:hAnsi="Garamond"/>
          <w:bCs/>
          <w:color w:val="000000"/>
        </w:rPr>
        <w:t>authorisation</w:t>
      </w:r>
      <w:proofErr w:type="spellEnd"/>
      <w:r>
        <w:rPr>
          <w:rFonts w:ascii="Garamond" w:hAnsi="Garamond"/>
          <w:bCs/>
          <w:color w:val="000000"/>
        </w:rPr>
        <w:t xml:space="preserve"> that a barrister has to </w:t>
      </w:r>
      <w:proofErr w:type="spellStart"/>
      <w:r>
        <w:rPr>
          <w:rFonts w:ascii="Garamond" w:hAnsi="Garamond"/>
          <w:bCs/>
          <w:color w:val="000000"/>
        </w:rPr>
        <w:t>practise</w:t>
      </w:r>
      <w:proofErr w:type="spellEnd"/>
      <w:r>
        <w:rPr>
          <w:rFonts w:ascii="Garamond" w:hAnsi="Garamond"/>
          <w:bCs/>
          <w:color w:val="000000"/>
        </w:rPr>
        <w:t xml:space="preserve"> and will amount to a breach of the BSB handbook.  </w:t>
      </w:r>
      <w:r w:rsidRPr="00A211F6">
        <w:rPr>
          <w:rFonts w:ascii="Garamond" w:hAnsi="Garamond"/>
          <w:bCs/>
          <w:color w:val="000000"/>
        </w:rPr>
        <w:t xml:space="preserve">Failure to provide </w:t>
      </w:r>
      <w:r w:rsidR="00B82E04">
        <w:rPr>
          <w:rFonts w:ascii="Garamond" w:hAnsi="Garamond"/>
          <w:bCs/>
          <w:color w:val="000000"/>
        </w:rPr>
        <w:t>the BSB with evidence of insurance will</w:t>
      </w:r>
      <w:r w:rsidRPr="00A211F6">
        <w:rPr>
          <w:rFonts w:ascii="Garamond" w:hAnsi="Garamond"/>
          <w:bCs/>
          <w:color w:val="000000"/>
        </w:rPr>
        <w:t xml:space="preserve"> </w:t>
      </w:r>
      <w:r w:rsidR="00B82E04">
        <w:rPr>
          <w:rFonts w:ascii="Garamond" w:hAnsi="Garamond"/>
          <w:bCs/>
          <w:color w:val="000000"/>
        </w:rPr>
        <w:t>invalidate the</w:t>
      </w:r>
      <w:r w:rsidRPr="00A211F6">
        <w:rPr>
          <w:rFonts w:ascii="Garamond" w:hAnsi="Garamond"/>
          <w:bCs/>
          <w:color w:val="000000"/>
        </w:rPr>
        <w:t xml:space="preserve"> </w:t>
      </w:r>
      <w:proofErr w:type="spellStart"/>
      <w:r w:rsidR="00B82E04">
        <w:rPr>
          <w:rFonts w:ascii="Garamond" w:hAnsi="Garamond"/>
          <w:bCs/>
          <w:color w:val="000000"/>
        </w:rPr>
        <w:t>authorisation</w:t>
      </w:r>
      <w:proofErr w:type="spellEnd"/>
      <w:r w:rsidR="00B82E04">
        <w:rPr>
          <w:rFonts w:ascii="Garamond" w:hAnsi="Garamond"/>
          <w:bCs/>
          <w:color w:val="000000"/>
        </w:rPr>
        <w:t xml:space="preserve"> and the</w:t>
      </w:r>
      <w:r w:rsidRPr="00A211F6">
        <w:rPr>
          <w:rFonts w:ascii="Garamond" w:hAnsi="Garamond"/>
          <w:bCs/>
          <w:color w:val="000000"/>
        </w:rPr>
        <w:t xml:space="preserve"> </w:t>
      </w:r>
      <w:r w:rsidR="00B82E04">
        <w:rPr>
          <w:rFonts w:ascii="Garamond" w:hAnsi="Garamond"/>
          <w:bCs/>
          <w:color w:val="000000"/>
        </w:rPr>
        <w:t xml:space="preserve">individual or </w:t>
      </w:r>
      <w:r w:rsidRPr="00A211F6">
        <w:rPr>
          <w:rFonts w:ascii="Garamond" w:hAnsi="Garamond"/>
          <w:bCs/>
          <w:color w:val="000000"/>
        </w:rPr>
        <w:t>entity will therefore not</w:t>
      </w:r>
      <w:r w:rsidR="00B82E04">
        <w:rPr>
          <w:rFonts w:ascii="Garamond" w:hAnsi="Garamond"/>
          <w:bCs/>
          <w:color w:val="000000"/>
        </w:rPr>
        <w:t xml:space="preserve"> be </w:t>
      </w:r>
      <w:proofErr w:type="spellStart"/>
      <w:r w:rsidR="00B82E04">
        <w:rPr>
          <w:rFonts w:ascii="Garamond" w:hAnsi="Garamond"/>
          <w:bCs/>
          <w:color w:val="000000"/>
        </w:rPr>
        <w:t>authorised</w:t>
      </w:r>
      <w:proofErr w:type="spellEnd"/>
      <w:r w:rsidR="00B82E04">
        <w:rPr>
          <w:rFonts w:ascii="Garamond" w:hAnsi="Garamond"/>
          <w:bCs/>
          <w:color w:val="000000"/>
        </w:rPr>
        <w:t xml:space="preserve"> to </w:t>
      </w:r>
      <w:proofErr w:type="spellStart"/>
      <w:r w:rsidR="00B82E04">
        <w:rPr>
          <w:rFonts w:ascii="Garamond" w:hAnsi="Garamond"/>
          <w:bCs/>
          <w:color w:val="000000"/>
        </w:rPr>
        <w:t>practise</w:t>
      </w:r>
      <w:proofErr w:type="spellEnd"/>
      <w:r w:rsidR="00B82E04">
        <w:rPr>
          <w:rFonts w:ascii="Garamond" w:hAnsi="Garamond"/>
          <w:bCs/>
          <w:color w:val="000000"/>
        </w:rPr>
        <w:t>.  Barristers would also</w:t>
      </w:r>
      <w:r w:rsidRPr="00A211F6">
        <w:rPr>
          <w:rFonts w:ascii="Garamond" w:hAnsi="Garamond"/>
          <w:bCs/>
          <w:color w:val="000000"/>
        </w:rPr>
        <w:t xml:space="preserve"> be in breach of </w:t>
      </w:r>
      <w:r>
        <w:rPr>
          <w:rFonts w:ascii="Garamond" w:hAnsi="Garamond"/>
          <w:bCs/>
          <w:color w:val="000000"/>
        </w:rPr>
        <w:t xml:space="preserve">your professional obligations pursuant to </w:t>
      </w:r>
      <w:r w:rsidRPr="00A211F6">
        <w:rPr>
          <w:rFonts w:ascii="Garamond" w:hAnsi="Garamond"/>
          <w:bCs/>
          <w:color w:val="000000"/>
        </w:rPr>
        <w:t xml:space="preserve">the BSB Handbook </w:t>
      </w:r>
      <w:r>
        <w:rPr>
          <w:rFonts w:ascii="Garamond" w:hAnsi="Garamond"/>
          <w:bCs/>
          <w:color w:val="000000"/>
        </w:rPr>
        <w:t>(S83.4).</w:t>
      </w:r>
    </w:p>
    <w:p w:rsidR="00A211F6" w:rsidRDefault="00A211F6" w:rsidP="00A211F6">
      <w:pPr>
        <w:pStyle w:val="ListParagraph"/>
        <w:keepNext/>
        <w:spacing w:before="220" w:after="220" w:line="164" w:lineRule="atLeast"/>
        <w:rPr>
          <w:rFonts w:ascii="Garamond" w:hAnsi="Garamond"/>
          <w:bCs/>
          <w:color w:val="000000"/>
        </w:rPr>
      </w:pPr>
    </w:p>
    <w:p w:rsidR="008E5A4C" w:rsidRPr="008E5A4C" w:rsidRDefault="0070329A" w:rsidP="008E5A4C">
      <w:pPr>
        <w:pStyle w:val="ListParagraph"/>
        <w:keepNext/>
        <w:numPr>
          <w:ilvl w:val="0"/>
          <w:numId w:val="3"/>
        </w:numPr>
        <w:spacing w:before="220" w:after="220" w:line="164" w:lineRule="atLeast"/>
        <w:rPr>
          <w:rFonts w:ascii="Garamond" w:hAnsi="Garamond"/>
          <w:bCs/>
          <w:color w:val="000000"/>
        </w:rPr>
      </w:pPr>
      <w:r>
        <w:rPr>
          <w:rFonts w:ascii="Garamond" w:hAnsi="Garamond"/>
          <w:bCs/>
          <w:color w:val="000000"/>
        </w:rPr>
        <w:t xml:space="preserve">The SRA also confirms that solicitors’ firms are subject to compulsory insurance. A solicitor without higher rights is not </w:t>
      </w:r>
      <w:proofErr w:type="spellStart"/>
      <w:r>
        <w:rPr>
          <w:rFonts w:ascii="Garamond" w:hAnsi="Garamond"/>
          <w:bCs/>
          <w:color w:val="000000"/>
        </w:rPr>
        <w:t>authorised</w:t>
      </w:r>
      <w:proofErr w:type="spellEnd"/>
      <w:r>
        <w:rPr>
          <w:rFonts w:ascii="Garamond" w:hAnsi="Garamond"/>
          <w:bCs/>
          <w:color w:val="000000"/>
        </w:rPr>
        <w:t xml:space="preserve"> to conduct advocacy unless one of the exceptions detailed above applies. </w:t>
      </w:r>
    </w:p>
    <w:p w:rsidR="008E5A4C" w:rsidRDefault="008E5A4C" w:rsidP="008E5A4C">
      <w:pPr>
        <w:pStyle w:val="ListParagraph"/>
        <w:keepNext/>
        <w:spacing w:before="220" w:after="220" w:line="164" w:lineRule="atLeast"/>
        <w:rPr>
          <w:rFonts w:ascii="Garamond" w:hAnsi="Garamond"/>
          <w:bCs/>
          <w:color w:val="000000"/>
        </w:rPr>
      </w:pPr>
    </w:p>
    <w:p w:rsidR="008E5A4C" w:rsidRPr="008E5A4C" w:rsidRDefault="0070329A" w:rsidP="008E5A4C">
      <w:pPr>
        <w:pStyle w:val="ListParagraph"/>
        <w:keepNext/>
        <w:numPr>
          <w:ilvl w:val="0"/>
          <w:numId w:val="3"/>
        </w:numPr>
        <w:spacing w:before="220" w:after="220" w:line="164" w:lineRule="atLeast"/>
        <w:rPr>
          <w:rFonts w:ascii="Garamond" w:hAnsi="Garamond"/>
          <w:bCs/>
          <w:color w:val="000000"/>
        </w:rPr>
      </w:pPr>
      <w:r>
        <w:rPr>
          <w:rFonts w:ascii="Garamond" w:hAnsi="Garamond"/>
          <w:bCs/>
          <w:color w:val="000000"/>
        </w:rPr>
        <w:t xml:space="preserve">A solicitor without higher rights and a paralegal would not, save for in exceptional circumstances, be permitted to conduct advocacy. In those circumstances, </w:t>
      </w:r>
      <w:r w:rsidR="00646A2D">
        <w:rPr>
          <w:rFonts w:ascii="Garamond" w:hAnsi="Garamond"/>
          <w:bCs/>
          <w:color w:val="000000"/>
        </w:rPr>
        <w:t>the professional indemnity insurance held by solicitors is unlikely to extend to cover the conducting of advocacy</w:t>
      </w:r>
      <w:r w:rsidR="008E5A4C">
        <w:rPr>
          <w:rFonts w:ascii="Garamond" w:hAnsi="Garamond"/>
          <w:bCs/>
          <w:color w:val="000000"/>
        </w:rPr>
        <w:t xml:space="preserve"> by those without the appropriate qualifications</w:t>
      </w:r>
      <w:r w:rsidR="00646A2D">
        <w:rPr>
          <w:rFonts w:ascii="Garamond" w:hAnsi="Garamond"/>
          <w:bCs/>
          <w:color w:val="000000"/>
        </w:rPr>
        <w:t xml:space="preserve">. </w:t>
      </w:r>
    </w:p>
    <w:p w:rsidR="008E5A4C" w:rsidRDefault="008E5A4C" w:rsidP="008E5A4C">
      <w:pPr>
        <w:pStyle w:val="ListParagraph"/>
        <w:keepNext/>
        <w:spacing w:before="220" w:after="220" w:line="164" w:lineRule="atLeast"/>
        <w:rPr>
          <w:rFonts w:ascii="Garamond" w:hAnsi="Garamond"/>
          <w:bCs/>
          <w:color w:val="000000"/>
        </w:rPr>
      </w:pPr>
    </w:p>
    <w:p w:rsidR="00BE7206" w:rsidRPr="00BE7206" w:rsidRDefault="00646A2D" w:rsidP="00BE7206">
      <w:pPr>
        <w:pStyle w:val="ListParagraph"/>
        <w:keepNext/>
        <w:numPr>
          <w:ilvl w:val="0"/>
          <w:numId w:val="3"/>
        </w:numPr>
        <w:spacing w:before="220" w:after="220" w:line="164" w:lineRule="atLeast"/>
        <w:rPr>
          <w:rFonts w:ascii="Garamond" w:hAnsi="Garamond"/>
          <w:lang w:val="en-GB"/>
        </w:rPr>
      </w:pPr>
      <w:r>
        <w:rPr>
          <w:rFonts w:ascii="Garamond" w:hAnsi="Garamond"/>
          <w:bCs/>
          <w:color w:val="000000"/>
        </w:rPr>
        <w:t xml:space="preserve">Each firm </w:t>
      </w:r>
      <w:r w:rsidR="00D71E99">
        <w:rPr>
          <w:rFonts w:ascii="Garamond" w:hAnsi="Garamond"/>
          <w:bCs/>
          <w:color w:val="000000"/>
        </w:rPr>
        <w:t>will likely want</w:t>
      </w:r>
      <w:r>
        <w:rPr>
          <w:rFonts w:ascii="Garamond" w:hAnsi="Garamond"/>
          <w:bCs/>
          <w:color w:val="000000"/>
        </w:rPr>
        <w:t xml:space="preserve"> to consult their indemnity insurers </w:t>
      </w:r>
      <w:r w:rsidR="00D71E99">
        <w:rPr>
          <w:rFonts w:ascii="Garamond" w:hAnsi="Garamond"/>
          <w:bCs/>
          <w:color w:val="000000"/>
        </w:rPr>
        <w:t xml:space="preserve">on an urgent </w:t>
      </w:r>
      <w:r w:rsidR="00A675F5">
        <w:rPr>
          <w:rFonts w:ascii="Garamond" w:hAnsi="Garamond"/>
          <w:bCs/>
          <w:color w:val="000000"/>
        </w:rPr>
        <w:t xml:space="preserve">basis </w:t>
      </w:r>
      <w:r>
        <w:rPr>
          <w:rFonts w:ascii="Garamond" w:hAnsi="Garamond"/>
          <w:bCs/>
          <w:color w:val="000000"/>
        </w:rPr>
        <w:t xml:space="preserve">regarding the impact </w:t>
      </w:r>
      <w:r w:rsidR="00D71E99">
        <w:rPr>
          <w:rFonts w:ascii="Garamond" w:hAnsi="Garamond"/>
          <w:bCs/>
          <w:color w:val="000000"/>
        </w:rPr>
        <w:t xml:space="preserve">of the court’s guidance that solicitors will address the court at PTPHs. It seems very unlikely that such insurers will be willing to indemnify </w:t>
      </w:r>
      <w:r w:rsidR="00C86228">
        <w:rPr>
          <w:rFonts w:ascii="Garamond" w:hAnsi="Garamond"/>
          <w:bCs/>
          <w:color w:val="000000"/>
        </w:rPr>
        <w:t>in these circumstances and firms will likely want to be sure of their position before being granted rights of audience by the courts.</w:t>
      </w:r>
    </w:p>
    <w:p w:rsidR="00BE7206" w:rsidRDefault="00BE7206" w:rsidP="00BE7206">
      <w:pPr>
        <w:pStyle w:val="ListParagraph"/>
        <w:keepNext/>
        <w:spacing w:before="220" w:after="220" w:line="164" w:lineRule="atLeast"/>
        <w:rPr>
          <w:rFonts w:ascii="Garamond" w:hAnsi="Garamond"/>
          <w:lang w:val="en-GB"/>
        </w:rPr>
      </w:pPr>
    </w:p>
    <w:p w:rsidR="00BE7206" w:rsidRPr="00D7233A" w:rsidRDefault="00BE7206" w:rsidP="00FF5075">
      <w:pPr>
        <w:pStyle w:val="ListParagraph"/>
        <w:keepNext/>
        <w:numPr>
          <w:ilvl w:val="0"/>
          <w:numId w:val="3"/>
        </w:numPr>
        <w:spacing w:before="220" w:after="220" w:line="164" w:lineRule="atLeast"/>
        <w:rPr>
          <w:rFonts w:ascii="Garamond" w:hAnsi="Garamond"/>
          <w:lang w:val="en-GB"/>
        </w:rPr>
      </w:pPr>
      <w:r>
        <w:rPr>
          <w:rFonts w:ascii="Garamond" w:hAnsi="Garamond"/>
          <w:lang w:val="en-GB"/>
        </w:rPr>
        <w:t>These considerations are of course separate but in addition to any ethical and competency based assessment that those applying for rights of audience would consider. The SRA has provided separate guidance on that topic.</w:t>
      </w:r>
    </w:p>
    <w:p w:rsidR="00840A37" w:rsidRPr="008E5A4C" w:rsidRDefault="00840A37">
      <w:pPr>
        <w:rPr>
          <w:rFonts w:ascii="Garamond" w:hAnsi="Garamond"/>
          <w:b/>
          <w:u w:val="single"/>
          <w:lang w:val="en-GB"/>
        </w:rPr>
      </w:pPr>
    </w:p>
    <w:sectPr w:rsidR="00840A37" w:rsidRPr="008E5A4C" w:rsidSect="00E12AC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90C" w:rsidRDefault="002D590C" w:rsidP="00D715F7">
      <w:r>
        <w:separator/>
      </w:r>
    </w:p>
  </w:endnote>
  <w:endnote w:type="continuationSeparator" w:id="0">
    <w:p w:rsidR="002D590C" w:rsidRDefault="002D590C" w:rsidP="00D71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90C" w:rsidRDefault="002D590C" w:rsidP="00D715F7">
      <w:r>
        <w:separator/>
      </w:r>
    </w:p>
  </w:footnote>
  <w:footnote w:type="continuationSeparator" w:id="0">
    <w:p w:rsidR="002D590C" w:rsidRDefault="002D590C" w:rsidP="00D715F7">
      <w:r>
        <w:continuationSeparator/>
      </w:r>
    </w:p>
  </w:footnote>
  <w:footnote w:id="1">
    <w:p w:rsidR="00D715F7" w:rsidRPr="00D715F7" w:rsidRDefault="00D715F7">
      <w:pPr>
        <w:pStyle w:val="FootnoteText"/>
        <w:rPr>
          <w:lang w:val="en-GB"/>
        </w:rPr>
      </w:pPr>
      <w:r>
        <w:rPr>
          <w:rStyle w:val="FootnoteReference"/>
        </w:rPr>
        <w:footnoteRef/>
      </w:r>
      <w:r>
        <w:t xml:space="preserve"> </w:t>
      </w:r>
      <w:r w:rsidRPr="00D715F7">
        <w:t>https://www.judiciary.gov.uk/wp-content/uploads/2016/02/mf-consultation-paper-feb2016-1.pdf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792"/>
    <w:multiLevelType w:val="hybridMultilevel"/>
    <w:tmpl w:val="2ECCA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A03D9"/>
    <w:multiLevelType w:val="hybridMultilevel"/>
    <w:tmpl w:val="9454D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640FCD"/>
    <w:multiLevelType w:val="hybridMultilevel"/>
    <w:tmpl w:val="DF289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D71"/>
    <w:rsid w:val="00035500"/>
    <w:rsid w:val="00040308"/>
    <w:rsid w:val="00091126"/>
    <w:rsid w:val="000D0169"/>
    <w:rsid w:val="001E260A"/>
    <w:rsid w:val="002318C6"/>
    <w:rsid w:val="002C0683"/>
    <w:rsid w:val="002D590C"/>
    <w:rsid w:val="002E6990"/>
    <w:rsid w:val="00342F88"/>
    <w:rsid w:val="00370CA8"/>
    <w:rsid w:val="004335F7"/>
    <w:rsid w:val="0045357C"/>
    <w:rsid w:val="004B100A"/>
    <w:rsid w:val="004F5514"/>
    <w:rsid w:val="005D5F07"/>
    <w:rsid w:val="00646A2D"/>
    <w:rsid w:val="0066364D"/>
    <w:rsid w:val="0070329A"/>
    <w:rsid w:val="00743545"/>
    <w:rsid w:val="0076336F"/>
    <w:rsid w:val="007671B5"/>
    <w:rsid w:val="007B78D4"/>
    <w:rsid w:val="00840A37"/>
    <w:rsid w:val="00897C36"/>
    <w:rsid w:val="008E5A4C"/>
    <w:rsid w:val="00A211F6"/>
    <w:rsid w:val="00A46D81"/>
    <w:rsid w:val="00A675F5"/>
    <w:rsid w:val="00A73D71"/>
    <w:rsid w:val="00A92968"/>
    <w:rsid w:val="00AF3FB2"/>
    <w:rsid w:val="00B04943"/>
    <w:rsid w:val="00B2542A"/>
    <w:rsid w:val="00B81930"/>
    <w:rsid w:val="00B82E04"/>
    <w:rsid w:val="00B86545"/>
    <w:rsid w:val="00BA0913"/>
    <w:rsid w:val="00BC5BF2"/>
    <w:rsid w:val="00BE7206"/>
    <w:rsid w:val="00C86228"/>
    <w:rsid w:val="00D22B46"/>
    <w:rsid w:val="00D52706"/>
    <w:rsid w:val="00D629B8"/>
    <w:rsid w:val="00D715F7"/>
    <w:rsid w:val="00D71E99"/>
    <w:rsid w:val="00D7233A"/>
    <w:rsid w:val="00D7382E"/>
    <w:rsid w:val="00D8776E"/>
    <w:rsid w:val="00D9519F"/>
    <w:rsid w:val="00E12AC4"/>
    <w:rsid w:val="00E50166"/>
    <w:rsid w:val="00EE43A9"/>
    <w:rsid w:val="00FF25FA"/>
    <w:rsid w:val="00FF5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64D"/>
    <w:rPr>
      <w:rFonts w:ascii="Times New Roman" w:hAnsi="Times New Roman" w:cs="Times New Roman"/>
    </w:rPr>
  </w:style>
  <w:style w:type="paragraph" w:styleId="Heading3">
    <w:name w:val="heading 3"/>
    <w:basedOn w:val="Normal"/>
    <w:link w:val="Heading3Char"/>
    <w:uiPriority w:val="9"/>
    <w:qFormat/>
    <w:rsid w:val="00D9519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35500"/>
  </w:style>
  <w:style w:type="character" w:styleId="CommentReference">
    <w:name w:val="annotation reference"/>
    <w:basedOn w:val="DefaultParagraphFont"/>
    <w:uiPriority w:val="99"/>
    <w:semiHidden/>
    <w:unhideWhenUsed/>
    <w:rsid w:val="00035500"/>
  </w:style>
  <w:style w:type="character" w:styleId="Hyperlink">
    <w:name w:val="Hyperlink"/>
    <w:basedOn w:val="DefaultParagraphFont"/>
    <w:uiPriority w:val="99"/>
    <w:semiHidden/>
    <w:unhideWhenUsed/>
    <w:rsid w:val="00035500"/>
    <w:rPr>
      <w:color w:val="0000FF"/>
      <w:u w:val="single"/>
    </w:rPr>
  </w:style>
  <w:style w:type="paragraph" w:styleId="CommentText">
    <w:name w:val="annotation text"/>
    <w:basedOn w:val="Normal"/>
    <w:link w:val="CommentTextChar"/>
    <w:uiPriority w:val="99"/>
    <w:semiHidden/>
    <w:unhideWhenUsed/>
    <w:rsid w:val="00035500"/>
    <w:pPr>
      <w:spacing w:before="100" w:beforeAutospacing="1" w:after="100" w:afterAutospacing="1"/>
    </w:pPr>
  </w:style>
  <w:style w:type="character" w:customStyle="1" w:styleId="CommentTextChar">
    <w:name w:val="Comment Text Char"/>
    <w:basedOn w:val="DefaultParagraphFont"/>
    <w:link w:val="CommentText"/>
    <w:uiPriority w:val="99"/>
    <w:semiHidden/>
    <w:rsid w:val="00035500"/>
    <w:rPr>
      <w:rFonts w:ascii="Times New Roman" w:hAnsi="Times New Roman" w:cs="Times New Roman"/>
    </w:rPr>
  </w:style>
  <w:style w:type="paragraph" w:styleId="NormalWeb">
    <w:name w:val="Normal (Web)"/>
    <w:basedOn w:val="Normal"/>
    <w:uiPriority w:val="99"/>
    <w:semiHidden/>
    <w:unhideWhenUsed/>
    <w:rsid w:val="0045357C"/>
  </w:style>
  <w:style w:type="character" w:styleId="Emphasis">
    <w:name w:val="Emphasis"/>
    <w:basedOn w:val="DefaultParagraphFont"/>
    <w:uiPriority w:val="20"/>
    <w:qFormat/>
    <w:rsid w:val="0066364D"/>
    <w:rPr>
      <w:i/>
      <w:iCs/>
    </w:rPr>
  </w:style>
  <w:style w:type="character" w:customStyle="1" w:styleId="Heading3Char">
    <w:name w:val="Heading 3 Char"/>
    <w:basedOn w:val="DefaultParagraphFont"/>
    <w:link w:val="Heading3"/>
    <w:uiPriority w:val="9"/>
    <w:rsid w:val="00D9519F"/>
    <w:rPr>
      <w:rFonts w:ascii="Times New Roman" w:hAnsi="Times New Roman" w:cs="Times New Roman"/>
      <w:b/>
      <w:bCs/>
      <w:sz w:val="27"/>
      <w:szCs w:val="27"/>
    </w:rPr>
  </w:style>
  <w:style w:type="paragraph" w:customStyle="1" w:styleId="indent1">
    <w:name w:val="indent1"/>
    <w:basedOn w:val="Normal"/>
    <w:rsid w:val="00D9519F"/>
    <w:pPr>
      <w:spacing w:before="100" w:beforeAutospacing="1" w:after="100" w:afterAutospacing="1"/>
    </w:pPr>
  </w:style>
  <w:style w:type="character" w:customStyle="1" w:styleId="smallcaps">
    <w:name w:val="smallcaps"/>
    <w:basedOn w:val="DefaultParagraphFont"/>
    <w:rsid w:val="00D9519F"/>
  </w:style>
  <w:style w:type="character" w:customStyle="1" w:styleId="starpage">
    <w:name w:val="starpage"/>
    <w:basedOn w:val="DefaultParagraphFont"/>
    <w:rsid w:val="00D9519F"/>
  </w:style>
  <w:style w:type="paragraph" w:styleId="ListParagraph">
    <w:name w:val="List Paragraph"/>
    <w:basedOn w:val="Normal"/>
    <w:uiPriority w:val="34"/>
    <w:qFormat/>
    <w:rsid w:val="00D7233A"/>
    <w:pPr>
      <w:ind w:left="720"/>
      <w:contextualSpacing/>
    </w:pPr>
  </w:style>
  <w:style w:type="paragraph" w:styleId="FootnoteText">
    <w:name w:val="footnote text"/>
    <w:basedOn w:val="Normal"/>
    <w:link w:val="FootnoteTextChar"/>
    <w:uiPriority w:val="99"/>
    <w:unhideWhenUsed/>
    <w:rsid w:val="00D715F7"/>
  </w:style>
  <w:style w:type="character" w:customStyle="1" w:styleId="FootnoteTextChar">
    <w:name w:val="Footnote Text Char"/>
    <w:basedOn w:val="DefaultParagraphFont"/>
    <w:link w:val="FootnoteText"/>
    <w:uiPriority w:val="99"/>
    <w:rsid w:val="00D715F7"/>
    <w:rPr>
      <w:rFonts w:ascii="Times New Roman" w:hAnsi="Times New Roman" w:cs="Times New Roman"/>
    </w:rPr>
  </w:style>
  <w:style w:type="character" w:styleId="FootnoteReference">
    <w:name w:val="footnote reference"/>
    <w:basedOn w:val="DefaultParagraphFont"/>
    <w:uiPriority w:val="99"/>
    <w:unhideWhenUsed/>
    <w:rsid w:val="00D715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64D"/>
    <w:rPr>
      <w:rFonts w:ascii="Times New Roman" w:hAnsi="Times New Roman" w:cs="Times New Roman"/>
    </w:rPr>
  </w:style>
  <w:style w:type="paragraph" w:styleId="Heading3">
    <w:name w:val="heading 3"/>
    <w:basedOn w:val="Normal"/>
    <w:link w:val="Heading3Char"/>
    <w:uiPriority w:val="9"/>
    <w:qFormat/>
    <w:rsid w:val="00D9519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35500"/>
  </w:style>
  <w:style w:type="character" w:styleId="CommentReference">
    <w:name w:val="annotation reference"/>
    <w:basedOn w:val="DefaultParagraphFont"/>
    <w:uiPriority w:val="99"/>
    <w:semiHidden/>
    <w:unhideWhenUsed/>
    <w:rsid w:val="00035500"/>
  </w:style>
  <w:style w:type="character" w:styleId="Hyperlink">
    <w:name w:val="Hyperlink"/>
    <w:basedOn w:val="DefaultParagraphFont"/>
    <w:uiPriority w:val="99"/>
    <w:semiHidden/>
    <w:unhideWhenUsed/>
    <w:rsid w:val="00035500"/>
    <w:rPr>
      <w:color w:val="0000FF"/>
      <w:u w:val="single"/>
    </w:rPr>
  </w:style>
  <w:style w:type="paragraph" w:styleId="CommentText">
    <w:name w:val="annotation text"/>
    <w:basedOn w:val="Normal"/>
    <w:link w:val="CommentTextChar"/>
    <w:uiPriority w:val="99"/>
    <w:semiHidden/>
    <w:unhideWhenUsed/>
    <w:rsid w:val="00035500"/>
    <w:pPr>
      <w:spacing w:before="100" w:beforeAutospacing="1" w:after="100" w:afterAutospacing="1"/>
    </w:pPr>
  </w:style>
  <w:style w:type="character" w:customStyle="1" w:styleId="CommentTextChar">
    <w:name w:val="Comment Text Char"/>
    <w:basedOn w:val="DefaultParagraphFont"/>
    <w:link w:val="CommentText"/>
    <w:uiPriority w:val="99"/>
    <w:semiHidden/>
    <w:rsid w:val="00035500"/>
    <w:rPr>
      <w:rFonts w:ascii="Times New Roman" w:hAnsi="Times New Roman" w:cs="Times New Roman"/>
    </w:rPr>
  </w:style>
  <w:style w:type="paragraph" w:styleId="NormalWeb">
    <w:name w:val="Normal (Web)"/>
    <w:basedOn w:val="Normal"/>
    <w:uiPriority w:val="99"/>
    <w:semiHidden/>
    <w:unhideWhenUsed/>
    <w:rsid w:val="0045357C"/>
  </w:style>
  <w:style w:type="character" w:styleId="Emphasis">
    <w:name w:val="Emphasis"/>
    <w:basedOn w:val="DefaultParagraphFont"/>
    <w:uiPriority w:val="20"/>
    <w:qFormat/>
    <w:rsid w:val="0066364D"/>
    <w:rPr>
      <w:i/>
      <w:iCs/>
    </w:rPr>
  </w:style>
  <w:style w:type="character" w:customStyle="1" w:styleId="Heading3Char">
    <w:name w:val="Heading 3 Char"/>
    <w:basedOn w:val="DefaultParagraphFont"/>
    <w:link w:val="Heading3"/>
    <w:uiPriority w:val="9"/>
    <w:rsid w:val="00D9519F"/>
    <w:rPr>
      <w:rFonts w:ascii="Times New Roman" w:hAnsi="Times New Roman" w:cs="Times New Roman"/>
      <w:b/>
      <w:bCs/>
      <w:sz w:val="27"/>
      <w:szCs w:val="27"/>
    </w:rPr>
  </w:style>
  <w:style w:type="paragraph" w:customStyle="1" w:styleId="indent1">
    <w:name w:val="indent1"/>
    <w:basedOn w:val="Normal"/>
    <w:rsid w:val="00D9519F"/>
    <w:pPr>
      <w:spacing w:before="100" w:beforeAutospacing="1" w:after="100" w:afterAutospacing="1"/>
    </w:pPr>
  </w:style>
  <w:style w:type="character" w:customStyle="1" w:styleId="smallcaps">
    <w:name w:val="smallcaps"/>
    <w:basedOn w:val="DefaultParagraphFont"/>
    <w:rsid w:val="00D9519F"/>
  </w:style>
  <w:style w:type="character" w:customStyle="1" w:styleId="starpage">
    <w:name w:val="starpage"/>
    <w:basedOn w:val="DefaultParagraphFont"/>
    <w:rsid w:val="00D9519F"/>
  </w:style>
  <w:style w:type="paragraph" w:styleId="ListParagraph">
    <w:name w:val="List Paragraph"/>
    <w:basedOn w:val="Normal"/>
    <w:uiPriority w:val="34"/>
    <w:qFormat/>
    <w:rsid w:val="00D7233A"/>
    <w:pPr>
      <w:ind w:left="720"/>
      <w:contextualSpacing/>
    </w:pPr>
  </w:style>
  <w:style w:type="paragraph" w:styleId="FootnoteText">
    <w:name w:val="footnote text"/>
    <w:basedOn w:val="Normal"/>
    <w:link w:val="FootnoteTextChar"/>
    <w:uiPriority w:val="99"/>
    <w:unhideWhenUsed/>
    <w:rsid w:val="00D715F7"/>
  </w:style>
  <w:style w:type="character" w:customStyle="1" w:styleId="FootnoteTextChar">
    <w:name w:val="Footnote Text Char"/>
    <w:basedOn w:val="DefaultParagraphFont"/>
    <w:link w:val="FootnoteText"/>
    <w:uiPriority w:val="99"/>
    <w:rsid w:val="00D715F7"/>
    <w:rPr>
      <w:rFonts w:ascii="Times New Roman" w:hAnsi="Times New Roman" w:cs="Times New Roman"/>
    </w:rPr>
  </w:style>
  <w:style w:type="character" w:styleId="FootnoteReference">
    <w:name w:val="footnote reference"/>
    <w:basedOn w:val="DefaultParagraphFont"/>
    <w:uiPriority w:val="99"/>
    <w:unhideWhenUsed/>
    <w:rsid w:val="00D715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1966">
      <w:bodyDiv w:val="1"/>
      <w:marLeft w:val="0"/>
      <w:marRight w:val="0"/>
      <w:marTop w:val="0"/>
      <w:marBottom w:val="0"/>
      <w:divBdr>
        <w:top w:val="none" w:sz="0" w:space="0" w:color="auto"/>
        <w:left w:val="none" w:sz="0" w:space="0" w:color="auto"/>
        <w:bottom w:val="none" w:sz="0" w:space="0" w:color="auto"/>
        <w:right w:val="none" w:sz="0" w:space="0" w:color="auto"/>
      </w:divBdr>
    </w:div>
    <w:div w:id="358042736">
      <w:bodyDiv w:val="1"/>
      <w:marLeft w:val="0"/>
      <w:marRight w:val="0"/>
      <w:marTop w:val="0"/>
      <w:marBottom w:val="0"/>
      <w:divBdr>
        <w:top w:val="none" w:sz="0" w:space="0" w:color="auto"/>
        <w:left w:val="none" w:sz="0" w:space="0" w:color="auto"/>
        <w:bottom w:val="none" w:sz="0" w:space="0" w:color="auto"/>
        <w:right w:val="none" w:sz="0" w:space="0" w:color="auto"/>
      </w:divBdr>
    </w:div>
    <w:div w:id="576088051">
      <w:bodyDiv w:val="1"/>
      <w:marLeft w:val="0"/>
      <w:marRight w:val="0"/>
      <w:marTop w:val="0"/>
      <w:marBottom w:val="0"/>
      <w:divBdr>
        <w:top w:val="none" w:sz="0" w:space="0" w:color="auto"/>
        <w:left w:val="none" w:sz="0" w:space="0" w:color="auto"/>
        <w:bottom w:val="none" w:sz="0" w:space="0" w:color="auto"/>
        <w:right w:val="none" w:sz="0" w:space="0" w:color="auto"/>
      </w:divBdr>
      <w:divsChild>
        <w:div w:id="124810222">
          <w:marLeft w:val="0"/>
          <w:marRight w:val="0"/>
          <w:marTop w:val="0"/>
          <w:marBottom w:val="0"/>
          <w:divBdr>
            <w:top w:val="none" w:sz="0" w:space="0" w:color="auto"/>
            <w:left w:val="none" w:sz="0" w:space="0" w:color="auto"/>
            <w:bottom w:val="none" w:sz="0" w:space="0" w:color="auto"/>
            <w:right w:val="none" w:sz="0" w:space="0" w:color="auto"/>
          </w:divBdr>
          <w:divsChild>
            <w:div w:id="1482430486">
              <w:marLeft w:val="0"/>
              <w:marRight w:val="0"/>
              <w:marTop w:val="0"/>
              <w:marBottom w:val="0"/>
              <w:divBdr>
                <w:top w:val="none" w:sz="0" w:space="0" w:color="auto"/>
                <w:left w:val="none" w:sz="0" w:space="0" w:color="auto"/>
                <w:bottom w:val="none" w:sz="0" w:space="0" w:color="auto"/>
                <w:right w:val="none" w:sz="0" w:space="0" w:color="auto"/>
              </w:divBdr>
              <w:divsChild>
                <w:div w:id="13238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97952">
      <w:bodyDiv w:val="1"/>
      <w:marLeft w:val="0"/>
      <w:marRight w:val="0"/>
      <w:marTop w:val="0"/>
      <w:marBottom w:val="0"/>
      <w:divBdr>
        <w:top w:val="none" w:sz="0" w:space="0" w:color="auto"/>
        <w:left w:val="none" w:sz="0" w:space="0" w:color="auto"/>
        <w:bottom w:val="none" w:sz="0" w:space="0" w:color="auto"/>
        <w:right w:val="none" w:sz="0" w:space="0" w:color="auto"/>
      </w:divBdr>
    </w:div>
    <w:div w:id="1079597602">
      <w:bodyDiv w:val="1"/>
      <w:marLeft w:val="0"/>
      <w:marRight w:val="0"/>
      <w:marTop w:val="0"/>
      <w:marBottom w:val="0"/>
      <w:divBdr>
        <w:top w:val="none" w:sz="0" w:space="0" w:color="auto"/>
        <w:left w:val="none" w:sz="0" w:space="0" w:color="auto"/>
        <w:bottom w:val="none" w:sz="0" w:space="0" w:color="auto"/>
        <w:right w:val="none" w:sz="0" w:space="0" w:color="auto"/>
      </w:divBdr>
      <w:divsChild>
        <w:div w:id="1797603911">
          <w:marLeft w:val="0"/>
          <w:marRight w:val="0"/>
          <w:marTop w:val="0"/>
          <w:marBottom w:val="0"/>
          <w:divBdr>
            <w:top w:val="none" w:sz="0" w:space="0" w:color="auto"/>
            <w:left w:val="none" w:sz="0" w:space="0" w:color="auto"/>
            <w:bottom w:val="none" w:sz="0" w:space="0" w:color="auto"/>
            <w:right w:val="none" w:sz="0" w:space="0" w:color="auto"/>
          </w:divBdr>
          <w:divsChild>
            <w:div w:id="1492133106">
              <w:marLeft w:val="0"/>
              <w:marRight w:val="0"/>
              <w:marTop w:val="0"/>
              <w:marBottom w:val="0"/>
              <w:divBdr>
                <w:top w:val="none" w:sz="0" w:space="0" w:color="auto"/>
                <w:left w:val="none" w:sz="0" w:space="0" w:color="auto"/>
                <w:bottom w:val="none" w:sz="0" w:space="0" w:color="auto"/>
                <w:right w:val="none" w:sz="0" w:space="0" w:color="auto"/>
              </w:divBdr>
              <w:divsChild>
                <w:div w:id="11837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792031">
      <w:bodyDiv w:val="1"/>
      <w:marLeft w:val="0"/>
      <w:marRight w:val="0"/>
      <w:marTop w:val="0"/>
      <w:marBottom w:val="0"/>
      <w:divBdr>
        <w:top w:val="none" w:sz="0" w:space="0" w:color="auto"/>
        <w:left w:val="none" w:sz="0" w:space="0" w:color="auto"/>
        <w:bottom w:val="none" w:sz="0" w:space="0" w:color="auto"/>
        <w:right w:val="none" w:sz="0" w:space="0" w:color="auto"/>
      </w:divBdr>
    </w:div>
    <w:div w:id="1250700896">
      <w:bodyDiv w:val="1"/>
      <w:marLeft w:val="0"/>
      <w:marRight w:val="0"/>
      <w:marTop w:val="0"/>
      <w:marBottom w:val="0"/>
      <w:divBdr>
        <w:top w:val="none" w:sz="0" w:space="0" w:color="auto"/>
        <w:left w:val="none" w:sz="0" w:space="0" w:color="auto"/>
        <w:bottom w:val="none" w:sz="0" w:space="0" w:color="auto"/>
        <w:right w:val="none" w:sz="0" w:space="0" w:color="auto"/>
      </w:divBdr>
      <w:divsChild>
        <w:div w:id="556668771">
          <w:marLeft w:val="0"/>
          <w:marRight w:val="0"/>
          <w:marTop w:val="0"/>
          <w:marBottom w:val="0"/>
          <w:divBdr>
            <w:top w:val="none" w:sz="0" w:space="0" w:color="auto"/>
            <w:left w:val="none" w:sz="0" w:space="0" w:color="auto"/>
            <w:bottom w:val="none" w:sz="0" w:space="0" w:color="auto"/>
            <w:right w:val="none" w:sz="0" w:space="0" w:color="auto"/>
          </w:divBdr>
          <w:divsChild>
            <w:div w:id="2141268038">
              <w:marLeft w:val="0"/>
              <w:marRight w:val="0"/>
              <w:marTop w:val="0"/>
              <w:marBottom w:val="0"/>
              <w:divBdr>
                <w:top w:val="none" w:sz="0" w:space="0" w:color="auto"/>
                <w:left w:val="none" w:sz="0" w:space="0" w:color="auto"/>
                <w:bottom w:val="none" w:sz="0" w:space="0" w:color="auto"/>
                <w:right w:val="none" w:sz="0" w:space="0" w:color="auto"/>
              </w:divBdr>
              <w:divsChild>
                <w:div w:id="106876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56058">
      <w:bodyDiv w:val="1"/>
      <w:marLeft w:val="0"/>
      <w:marRight w:val="0"/>
      <w:marTop w:val="0"/>
      <w:marBottom w:val="0"/>
      <w:divBdr>
        <w:top w:val="none" w:sz="0" w:space="0" w:color="auto"/>
        <w:left w:val="none" w:sz="0" w:space="0" w:color="auto"/>
        <w:bottom w:val="none" w:sz="0" w:space="0" w:color="auto"/>
        <w:right w:val="none" w:sz="0" w:space="0" w:color="auto"/>
      </w:divBdr>
      <w:divsChild>
        <w:div w:id="438111075">
          <w:marLeft w:val="0"/>
          <w:marRight w:val="0"/>
          <w:marTop w:val="0"/>
          <w:marBottom w:val="0"/>
          <w:divBdr>
            <w:top w:val="none" w:sz="0" w:space="0" w:color="auto"/>
            <w:left w:val="none" w:sz="0" w:space="0" w:color="auto"/>
            <w:bottom w:val="none" w:sz="0" w:space="0" w:color="auto"/>
            <w:right w:val="none" w:sz="0" w:space="0" w:color="auto"/>
          </w:divBdr>
          <w:divsChild>
            <w:div w:id="1994331348">
              <w:marLeft w:val="0"/>
              <w:marRight w:val="0"/>
              <w:marTop w:val="0"/>
              <w:marBottom w:val="0"/>
              <w:divBdr>
                <w:top w:val="none" w:sz="0" w:space="0" w:color="auto"/>
                <w:left w:val="none" w:sz="0" w:space="0" w:color="auto"/>
                <w:bottom w:val="none" w:sz="0" w:space="0" w:color="auto"/>
                <w:right w:val="none" w:sz="0" w:space="0" w:color="auto"/>
              </w:divBdr>
              <w:divsChild>
                <w:div w:id="8604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707061">
      <w:bodyDiv w:val="1"/>
      <w:marLeft w:val="0"/>
      <w:marRight w:val="0"/>
      <w:marTop w:val="0"/>
      <w:marBottom w:val="0"/>
      <w:divBdr>
        <w:top w:val="none" w:sz="0" w:space="0" w:color="auto"/>
        <w:left w:val="none" w:sz="0" w:space="0" w:color="auto"/>
        <w:bottom w:val="none" w:sz="0" w:space="0" w:color="auto"/>
        <w:right w:val="none" w:sz="0" w:space="0" w:color="auto"/>
      </w:divBdr>
      <w:divsChild>
        <w:div w:id="1759473167">
          <w:marLeft w:val="0"/>
          <w:marRight w:val="0"/>
          <w:marTop w:val="0"/>
          <w:marBottom w:val="0"/>
          <w:divBdr>
            <w:top w:val="none" w:sz="0" w:space="0" w:color="auto"/>
            <w:left w:val="none" w:sz="0" w:space="0" w:color="auto"/>
            <w:bottom w:val="none" w:sz="0" w:space="0" w:color="auto"/>
            <w:right w:val="none" w:sz="0" w:space="0" w:color="auto"/>
          </w:divBdr>
          <w:divsChild>
            <w:div w:id="421146600">
              <w:marLeft w:val="0"/>
              <w:marRight w:val="0"/>
              <w:marTop w:val="0"/>
              <w:marBottom w:val="0"/>
              <w:divBdr>
                <w:top w:val="none" w:sz="0" w:space="0" w:color="auto"/>
                <w:left w:val="none" w:sz="0" w:space="0" w:color="auto"/>
                <w:bottom w:val="none" w:sz="0" w:space="0" w:color="auto"/>
                <w:right w:val="none" w:sz="0" w:space="0" w:color="auto"/>
              </w:divBdr>
              <w:divsChild>
                <w:div w:id="109663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3804">
      <w:bodyDiv w:val="1"/>
      <w:marLeft w:val="0"/>
      <w:marRight w:val="0"/>
      <w:marTop w:val="0"/>
      <w:marBottom w:val="0"/>
      <w:divBdr>
        <w:top w:val="none" w:sz="0" w:space="0" w:color="auto"/>
        <w:left w:val="none" w:sz="0" w:space="0" w:color="auto"/>
        <w:bottom w:val="none" w:sz="0" w:space="0" w:color="auto"/>
        <w:right w:val="none" w:sz="0" w:space="0" w:color="auto"/>
      </w:divBdr>
      <w:divsChild>
        <w:div w:id="2127162">
          <w:marLeft w:val="0"/>
          <w:marRight w:val="0"/>
          <w:marTop w:val="0"/>
          <w:marBottom w:val="0"/>
          <w:divBdr>
            <w:top w:val="none" w:sz="0" w:space="0" w:color="auto"/>
            <w:left w:val="none" w:sz="0" w:space="0" w:color="auto"/>
            <w:bottom w:val="none" w:sz="0" w:space="0" w:color="auto"/>
            <w:right w:val="none" w:sz="0" w:space="0" w:color="auto"/>
          </w:divBdr>
          <w:divsChild>
            <w:div w:id="295186621">
              <w:marLeft w:val="0"/>
              <w:marRight w:val="0"/>
              <w:marTop w:val="0"/>
              <w:marBottom w:val="0"/>
              <w:divBdr>
                <w:top w:val="none" w:sz="0" w:space="0" w:color="auto"/>
                <w:left w:val="none" w:sz="0" w:space="0" w:color="auto"/>
                <w:bottom w:val="none" w:sz="0" w:space="0" w:color="auto"/>
                <w:right w:val="none" w:sz="0" w:space="0" w:color="auto"/>
              </w:divBdr>
              <w:divsChild>
                <w:div w:id="518354432">
                  <w:marLeft w:val="0"/>
                  <w:marRight w:val="0"/>
                  <w:marTop w:val="0"/>
                  <w:marBottom w:val="0"/>
                  <w:divBdr>
                    <w:top w:val="none" w:sz="0" w:space="0" w:color="auto"/>
                    <w:left w:val="none" w:sz="0" w:space="0" w:color="auto"/>
                    <w:bottom w:val="none" w:sz="0" w:space="0" w:color="auto"/>
                    <w:right w:val="none" w:sz="0" w:space="0" w:color="auto"/>
                  </w:divBdr>
                </w:div>
              </w:divsChild>
            </w:div>
            <w:div w:id="1762798615">
              <w:marLeft w:val="0"/>
              <w:marRight w:val="0"/>
              <w:marTop w:val="0"/>
              <w:marBottom w:val="0"/>
              <w:divBdr>
                <w:top w:val="none" w:sz="0" w:space="0" w:color="auto"/>
                <w:left w:val="none" w:sz="0" w:space="0" w:color="auto"/>
                <w:bottom w:val="none" w:sz="0" w:space="0" w:color="auto"/>
                <w:right w:val="none" w:sz="0" w:space="0" w:color="auto"/>
              </w:divBdr>
              <w:divsChild>
                <w:div w:id="152636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741006">
      <w:bodyDiv w:val="1"/>
      <w:marLeft w:val="0"/>
      <w:marRight w:val="0"/>
      <w:marTop w:val="0"/>
      <w:marBottom w:val="0"/>
      <w:divBdr>
        <w:top w:val="none" w:sz="0" w:space="0" w:color="auto"/>
        <w:left w:val="none" w:sz="0" w:space="0" w:color="auto"/>
        <w:bottom w:val="none" w:sz="0" w:space="0" w:color="auto"/>
        <w:right w:val="none" w:sz="0" w:space="0" w:color="auto"/>
      </w:divBdr>
      <w:divsChild>
        <w:div w:id="490214361">
          <w:marLeft w:val="0"/>
          <w:marRight w:val="0"/>
          <w:marTop w:val="0"/>
          <w:marBottom w:val="0"/>
          <w:divBdr>
            <w:top w:val="none" w:sz="0" w:space="0" w:color="auto"/>
            <w:left w:val="none" w:sz="0" w:space="0" w:color="auto"/>
            <w:bottom w:val="none" w:sz="0" w:space="0" w:color="auto"/>
            <w:right w:val="none" w:sz="0" w:space="0" w:color="auto"/>
          </w:divBdr>
          <w:divsChild>
            <w:div w:id="1282765302">
              <w:marLeft w:val="0"/>
              <w:marRight w:val="0"/>
              <w:marTop w:val="0"/>
              <w:marBottom w:val="0"/>
              <w:divBdr>
                <w:top w:val="none" w:sz="0" w:space="0" w:color="auto"/>
                <w:left w:val="none" w:sz="0" w:space="0" w:color="auto"/>
                <w:bottom w:val="none" w:sz="0" w:space="0" w:color="auto"/>
                <w:right w:val="none" w:sz="0" w:space="0" w:color="auto"/>
              </w:divBdr>
              <w:divsChild>
                <w:div w:id="100948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32531">
      <w:bodyDiv w:val="1"/>
      <w:marLeft w:val="0"/>
      <w:marRight w:val="0"/>
      <w:marTop w:val="0"/>
      <w:marBottom w:val="0"/>
      <w:divBdr>
        <w:top w:val="none" w:sz="0" w:space="0" w:color="auto"/>
        <w:left w:val="none" w:sz="0" w:space="0" w:color="auto"/>
        <w:bottom w:val="none" w:sz="0" w:space="0" w:color="auto"/>
        <w:right w:val="none" w:sz="0" w:space="0" w:color="auto"/>
      </w:divBdr>
    </w:div>
    <w:div w:id="2143112110">
      <w:bodyDiv w:val="1"/>
      <w:marLeft w:val="0"/>
      <w:marRight w:val="0"/>
      <w:marTop w:val="0"/>
      <w:marBottom w:val="0"/>
      <w:divBdr>
        <w:top w:val="none" w:sz="0" w:space="0" w:color="auto"/>
        <w:left w:val="none" w:sz="0" w:space="0" w:color="auto"/>
        <w:bottom w:val="none" w:sz="0" w:space="0" w:color="auto"/>
        <w:right w:val="none" w:sz="0" w:space="0" w:color="auto"/>
      </w:divBdr>
      <w:divsChild>
        <w:div w:id="1904440074">
          <w:marLeft w:val="0"/>
          <w:marRight w:val="0"/>
          <w:marTop w:val="0"/>
          <w:marBottom w:val="0"/>
          <w:divBdr>
            <w:top w:val="none" w:sz="0" w:space="0" w:color="auto"/>
            <w:left w:val="none" w:sz="0" w:space="0" w:color="auto"/>
            <w:bottom w:val="none" w:sz="0" w:space="0" w:color="auto"/>
            <w:right w:val="none" w:sz="0" w:space="0" w:color="auto"/>
          </w:divBdr>
          <w:divsChild>
            <w:div w:id="1487935766">
              <w:marLeft w:val="0"/>
              <w:marRight w:val="0"/>
              <w:marTop w:val="0"/>
              <w:marBottom w:val="0"/>
              <w:divBdr>
                <w:top w:val="none" w:sz="0" w:space="0" w:color="auto"/>
                <w:left w:val="none" w:sz="0" w:space="0" w:color="auto"/>
                <w:bottom w:val="none" w:sz="0" w:space="0" w:color="auto"/>
                <w:right w:val="none" w:sz="0" w:space="0" w:color="auto"/>
              </w:divBdr>
              <w:divsChild>
                <w:div w:id="160958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HP</cp:lastModifiedBy>
  <cp:revision>2</cp:revision>
  <dcterms:created xsi:type="dcterms:W3CDTF">2018-05-01T13:38:00Z</dcterms:created>
  <dcterms:modified xsi:type="dcterms:W3CDTF">2018-05-01T13:38:00Z</dcterms:modified>
</cp:coreProperties>
</file>